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909"/>
        <w:gridCol w:w="655"/>
        <w:gridCol w:w="2487"/>
        <w:gridCol w:w="893"/>
        <w:gridCol w:w="998"/>
        <w:gridCol w:w="212"/>
        <w:gridCol w:w="1036"/>
        <w:gridCol w:w="1081"/>
        <w:gridCol w:w="18"/>
      </w:tblGrid>
      <w:tr w:rsidR="008F0CED" w:rsidRPr="008F0CED" w14:paraId="3C93ADB7" w14:textId="77777777" w:rsidTr="002161DA">
        <w:trPr>
          <w:jc w:val="center"/>
        </w:trPr>
        <w:tc>
          <w:tcPr>
            <w:tcW w:w="3838" w:type="pct"/>
            <w:gridSpan w:val="6"/>
            <w:vMerge w:val="restart"/>
            <w:tcBorders>
              <w:top w:val="single" w:sz="4" w:space="0" w:color="auto"/>
              <w:left w:val="single" w:sz="4" w:space="0" w:color="auto"/>
              <w:bottom w:val="single" w:sz="4" w:space="0" w:color="auto"/>
              <w:right w:val="single" w:sz="4" w:space="0" w:color="auto"/>
            </w:tcBorders>
            <w:hideMark/>
          </w:tcPr>
          <w:p w14:paraId="5346A761" w14:textId="77777777" w:rsidR="008F0CED" w:rsidRPr="002161DA" w:rsidRDefault="002161DA" w:rsidP="002161DA">
            <w:pPr>
              <w:pStyle w:val="ListParagraph"/>
              <w:numPr>
                <w:ilvl w:val="0"/>
                <w:numId w:val="17"/>
              </w:numPr>
              <w:tabs>
                <w:tab w:val="left" w:pos="2835"/>
              </w:tabs>
              <w:rPr>
                <w:rFonts w:ascii="Times New Roman" w:hAnsi="Times New Roman" w:cs="Times New Roman"/>
                <w:sz w:val="20"/>
                <w:szCs w:val="20"/>
              </w:rPr>
            </w:pPr>
            <w:r w:rsidRPr="002161DA">
              <w:rPr>
                <w:rFonts w:ascii="Times New Roman" w:hAnsi="Times New Roman" w:cs="Times New Roman"/>
                <w:sz w:val="20"/>
                <w:szCs w:val="20"/>
                <w:lang w:val="sr-Cyrl-RS"/>
              </w:rPr>
              <w:t>Назив прописа Европске уније</w:t>
            </w:r>
            <w:r w:rsidR="008F0CED" w:rsidRPr="002161DA">
              <w:rPr>
                <w:rFonts w:ascii="Times New Roman" w:hAnsi="Times New Roman" w:cs="Times New Roman"/>
                <w:sz w:val="20"/>
                <w:szCs w:val="20"/>
              </w:rPr>
              <w:t>:</w:t>
            </w:r>
          </w:p>
          <w:p w14:paraId="5890272D" w14:textId="77777777" w:rsidR="002161DA" w:rsidRPr="002161DA" w:rsidRDefault="002161DA" w:rsidP="002161DA">
            <w:pPr>
              <w:tabs>
                <w:tab w:val="left" w:pos="2835"/>
              </w:tabs>
              <w:spacing w:before="120" w:after="120" w:line="240" w:lineRule="auto"/>
              <w:jc w:val="both"/>
              <w:rPr>
                <w:rFonts w:ascii="Times New Roman" w:hAnsi="Times New Roman" w:cs="Times New Roman"/>
                <w:bCs/>
                <w:sz w:val="20"/>
                <w:szCs w:val="20"/>
                <w:lang w:val="en-GB" w:eastAsia="en-GB"/>
              </w:rPr>
            </w:pPr>
            <w:proofErr w:type="spellStart"/>
            <w:r w:rsidRPr="002161DA">
              <w:rPr>
                <w:rFonts w:ascii="Times New Roman" w:hAnsi="Times New Roman" w:cs="Times New Roman"/>
                <w:bCs/>
                <w:sz w:val="20"/>
                <w:szCs w:val="20"/>
                <w:lang w:val="en-GB" w:eastAsia="en-GB"/>
              </w:rPr>
              <w:t>Директива</w:t>
            </w:r>
            <w:proofErr w:type="spellEnd"/>
            <w:r w:rsidRPr="002161DA">
              <w:rPr>
                <w:rFonts w:ascii="Times New Roman" w:hAnsi="Times New Roman" w:cs="Times New Roman"/>
                <w:bCs/>
                <w:sz w:val="20"/>
                <w:szCs w:val="20"/>
                <w:lang w:val="en-GB" w:eastAsia="en-GB"/>
              </w:rPr>
              <w:t xml:space="preserve"> о </w:t>
            </w:r>
            <w:proofErr w:type="spellStart"/>
            <w:r w:rsidRPr="002161DA">
              <w:rPr>
                <w:rFonts w:ascii="Times New Roman" w:hAnsi="Times New Roman" w:cs="Times New Roman"/>
                <w:bCs/>
                <w:sz w:val="20"/>
                <w:szCs w:val="20"/>
                <w:lang w:val="en-GB" w:eastAsia="en-GB"/>
              </w:rPr>
              <w:t>отвореним</w:t>
            </w:r>
            <w:proofErr w:type="spellEnd"/>
            <w:r w:rsidRPr="002161DA">
              <w:rPr>
                <w:rFonts w:ascii="Times New Roman" w:hAnsi="Times New Roman" w:cs="Times New Roman"/>
                <w:bCs/>
                <w:sz w:val="20"/>
                <w:szCs w:val="20"/>
                <w:lang w:val="en-GB" w:eastAsia="en-GB"/>
              </w:rPr>
              <w:t xml:space="preserve"> </w:t>
            </w:r>
            <w:proofErr w:type="spellStart"/>
            <w:r w:rsidRPr="002161DA">
              <w:rPr>
                <w:rFonts w:ascii="Times New Roman" w:hAnsi="Times New Roman" w:cs="Times New Roman"/>
                <w:bCs/>
                <w:sz w:val="20"/>
                <w:szCs w:val="20"/>
                <w:lang w:val="en-GB" w:eastAsia="en-GB"/>
              </w:rPr>
              <w:t>подацима</w:t>
            </w:r>
            <w:proofErr w:type="spellEnd"/>
            <w:r w:rsidRPr="002161DA">
              <w:rPr>
                <w:rFonts w:ascii="Times New Roman" w:hAnsi="Times New Roman" w:cs="Times New Roman"/>
                <w:bCs/>
                <w:sz w:val="20"/>
                <w:szCs w:val="20"/>
                <w:lang w:val="en-GB" w:eastAsia="en-GB"/>
              </w:rPr>
              <w:t xml:space="preserve"> и </w:t>
            </w:r>
            <w:proofErr w:type="spellStart"/>
            <w:r w:rsidRPr="002161DA">
              <w:rPr>
                <w:rFonts w:ascii="Times New Roman" w:hAnsi="Times New Roman" w:cs="Times New Roman"/>
                <w:bCs/>
                <w:sz w:val="20"/>
                <w:szCs w:val="20"/>
                <w:lang w:val="en-GB" w:eastAsia="en-GB"/>
              </w:rPr>
              <w:t>поновној</w:t>
            </w:r>
            <w:proofErr w:type="spellEnd"/>
            <w:r w:rsidRPr="002161DA">
              <w:rPr>
                <w:rFonts w:ascii="Times New Roman" w:hAnsi="Times New Roman" w:cs="Times New Roman"/>
                <w:bCs/>
                <w:sz w:val="20"/>
                <w:szCs w:val="20"/>
                <w:lang w:val="en-GB" w:eastAsia="en-GB"/>
              </w:rPr>
              <w:t xml:space="preserve"> </w:t>
            </w:r>
            <w:proofErr w:type="spellStart"/>
            <w:r w:rsidRPr="002161DA">
              <w:rPr>
                <w:rFonts w:ascii="Times New Roman" w:hAnsi="Times New Roman" w:cs="Times New Roman"/>
                <w:bCs/>
                <w:sz w:val="20"/>
                <w:szCs w:val="20"/>
                <w:lang w:val="en-GB" w:eastAsia="en-GB"/>
              </w:rPr>
              <w:t>употреби</w:t>
            </w:r>
            <w:proofErr w:type="spellEnd"/>
            <w:r w:rsidRPr="002161DA">
              <w:rPr>
                <w:rFonts w:ascii="Times New Roman" w:hAnsi="Times New Roman" w:cs="Times New Roman"/>
                <w:bCs/>
                <w:sz w:val="20"/>
                <w:szCs w:val="20"/>
                <w:lang w:val="en-GB" w:eastAsia="en-GB"/>
              </w:rPr>
              <w:t xml:space="preserve"> </w:t>
            </w:r>
            <w:proofErr w:type="spellStart"/>
            <w:r w:rsidRPr="002161DA">
              <w:rPr>
                <w:rFonts w:ascii="Times New Roman" w:hAnsi="Times New Roman" w:cs="Times New Roman"/>
                <w:bCs/>
                <w:sz w:val="20"/>
                <w:szCs w:val="20"/>
                <w:lang w:val="en-GB" w:eastAsia="en-GB"/>
              </w:rPr>
              <w:t>информација</w:t>
            </w:r>
            <w:proofErr w:type="spellEnd"/>
            <w:r w:rsidRPr="002161DA">
              <w:rPr>
                <w:rFonts w:ascii="Times New Roman" w:hAnsi="Times New Roman" w:cs="Times New Roman"/>
                <w:bCs/>
                <w:sz w:val="20"/>
                <w:szCs w:val="20"/>
                <w:lang w:val="en-GB" w:eastAsia="en-GB"/>
              </w:rPr>
              <w:t xml:space="preserve"> </w:t>
            </w:r>
            <w:proofErr w:type="spellStart"/>
            <w:r w:rsidRPr="002161DA">
              <w:rPr>
                <w:rFonts w:ascii="Times New Roman" w:hAnsi="Times New Roman" w:cs="Times New Roman"/>
                <w:bCs/>
                <w:sz w:val="20"/>
                <w:szCs w:val="20"/>
                <w:lang w:val="en-GB" w:eastAsia="en-GB"/>
              </w:rPr>
              <w:t>јавног</w:t>
            </w:r>
            <w:proofErr w:type="spellEnd"/>
            <w:r w:rsidRPr="002161DA">
              <w:rPr>
                <w:rFonts w:ascii="Times New Roman" w:hAnsi="Times New Roman" w:cs="Times New Roman"/>
                <w:bCs/>
                <w:sz w:val="20"/>
                <w:szCs w:val="20"/>
                <w:lang w:val="en-GB" w:eastAsia="en-GB"/>
              </w:rPr>
              <w:t xml:space="preserve"> </w:t>
            </w:r>
            <w:proofErr w:type="spellStart"/>
            <w:r w:rsidRPr="002161DA">
              <w:rPr>
                <w:rFonts w:ascii="Times New Roman" w:hAnsi="Times New Roman" w:cs="Times New Roman"/>
                <w:bCs/>
                <w:sz w:val="20"/>
                <w:szCs w:val="20"/>
                <w:lang w:val="en-GB" w:eastAsia="en-GB"/>
              </w:rPr>
              <w:t>сектора</w:t>
            </w:r>
            <w:proofErr w:type="spellEnd"/>
          </w:p>
          <w:p w14:paraId="6C64EFF2" w14:textId="0619730F" w:rsidR="008F0CED" w:rsidRPr="008F0CED" w:rsidRDefault="008F0CED" w:rsidP="00D256C1">
            <w:pPr>
              <w:tabs>
                <w:tab w:val="left" w:pos="2835"/>
              </w:tabs>
              <w:spacing w:before="120" w:after="120" w:line="240" w:lineRule="auto"/>
              <w:jc w:val="both"/>
              <w:rPr>
                <w:rFonts w:ascii="Times New Roman" w:eastAsia="Calibri" w:hAnsi="Times New Roman" w:cs="Times New Roman"/>
                <w:sz w:val="20"/>
                <w:szCs w:val="20"/>
                <w:lang w:val="en-GB"/>
              </w:rPr>
            </w:pPr>
            <w:r w:rsidRPr="008F0CED">
              <w:rPr>
                <w:rFonts w:ascii="Times New Roman" w:hAnsi="Times New Roman" w:cs="Times New Roman"/>
                <w:bCs/>
                <w:sz w:val="20"/>
                <w:szCs w:val="20"/>
                <w:lang w:val="en-GB" w:eastAsia="en-GB"/>
              </w:rPr>
              <w:t xml:space="preserve">Directive (Eu) 2019/1024 Of The European Parliament And </w:t>
            </w:r>
            <w:r w:rsidR="0067436E" w:rsidRPr="008F0CED">
              <w:rPr>
                <w:rFonts w:ascii="Times New Roman" w:hAnsi="Times New Roman" w:cs="Times New Roman"/>
                <w:bCs/>
                <w:sz w:val="20"/>
                <w:szCs w:val="20"/>
                <w:lang w:val="en-GB" w:eastAsia="en-GB"/>
              </w:rPr>
              <w:t xml:space="preserve">of the </w:t>
            </w:r>
            <w:r w:rsidRPr="008F0CED">
              <w:rPr>
                <w:rFonts w:ascii="Times New Roman" w:hAnsi="Times New Roman" w:cs="Times New Roman"/>
                <w:bCs/>
                <w:sz w:val="20"/>
                <w:szCs w:val="20"/>
                <w:lang w:val="en-GB" w:eastAsia="en-GB"/>
              </w:rPr>
              <w:t>Council of 20 June 2019 on open data and the re-use of public sector information (recast)</w:t>
            </w:r>
          </w:p>
        </w:tc>
        <w:tc>
          <w:tcPr>
            <w:tcW w:w="1162" w:type="pct"/>
            <w:gridSpan w:val="4"/>
            <w:tcBorders>
              <w:top w:val="single" w:sz="4" w:space="0" w:color="auto"/>
              <w:left w:val="single" w:sz="4" w:space="0" w:color="auto"/>
              <w:bottom w:val="nil"/>
              <w:right w:val="single" w:sz="4" w:space="0" w:color="auto"/>
            </w:tcBorders>
            <w:hideMark/>
          </w:tcPr>
          <w:p w14:paraId="775615EA" w14:textId="5DD40908" w:rsidR="008F0CED" w:rsidRPr="002161DA"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b/>
                <w:iCs/>
                <w:color w:val="000000"/>
                <w:sz w:val="20"/>
                <w:szCs w:val="20"/>
                <w:lang w:val="en-GB" w:eastAsia="en-GB"/>
              </w:rPr>
              <w:t>2</w:t>
            </w:r>
            <w:r w:rsidR="002161DA">
              <w:rPr>
                <w:rFonts w:ascii="Times New Roman" w:hAnsi="Times New Roman" w:cs="Times New Roman"/>
                <w:iCs/>
                <w:color w:val="000000"/>
                <w:sz w:val="20"/>
                <w:szCs w:val="20"/>
                <w:lang w:val="en-GB" w:eastAsia="en-GB"/>
              </w:rPr>
              <w:t xml:space="preserve">. CELEX </w:t>
            </w:r>
            <w:r w:rsidR="002161DA">
              <w:rPr>
                <w:rFonts w:ascii="Times New Roman" w:hAnsi="Times New Roman" w:cs="Times New Roman"/>
                <w:iCs/>
                <w:color w:val="000000"/>
                <w:sz w:val="20"/>
                <w:szCs w:val="20"/>
                <w:lang w:val="sr-Cyrl-RS" w:eastAsia="en-GB"/>
              </w:rPr>
              <w:t xml:space="preserve">ознака ЕУ прописа </w:t>
            </w:r>
          </w:p>
        </w:tc>
      </w:tr>
      <w:tr w:rsidR="008F0CED" w:rsidRPr="008F0CED" w14:paraId="7B2F8460" w14:textId="77777777" w:rsidTr="002161DA">
        <w:trPr>
          <w:jc w:val="center"/>
        </w:trPr>
        <w:tc>
          <w:tcPr>
            <w:tcW w:w="3838" w:type="pct"/>
            <w:gridSpan w:val="6"/>
            <w:vMerge/>
            <w:tcBorders>
              <w:top w:val="single" w:sz="4" w:space="0" w:color="auto"/>
              <w:left w:val="single" w:sz="4" w:space="0" w:color="auto"/>
              <w:bottom w:val="single" w:sz="4" w:space="0" w:color="auto"/>
              <w:right w:val="single" w:sz="4" w:space="0" w:color="auto"/>
            </w:tcBorders>
            <w:vAlign w:val="center"/>
            <w:hideMark/>
          </w:tcPr>
          <w:p w14:paraId="087C1B2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162" w:type="pct"/>
            <w:gridSpan w:val="4"/>
            <w:tcBorders>
              <w:top w:val="nil"/>
              <w:left w:val="single" w:sz="4" w:space="0" w:color="auto"/>
              <w:bottom w:val="single" w:sz="4" w:space="0" w:color="auto"/>
              <w:right w:val="single" w:sz="4" w:space="0" w:color="auto"/>
            </w:tcBorders>
          </w:tcPr>
          <w:p w14:paraId="1C2965B5" w14:textId="77777777" w:rsidR="008F0CED" w:rsidRPr="008F0CED" w:rsidRDefault="008F0CED" w:rsidP="008F0CED">
            <w:pPr>
              <w:tabs>
                <w:tab w:val="left" w:pos="2835"/>
              </w:tabs>
              <w:spacing w:before="120" w:after="120" w:line="240" w:lineRule="auto"/>
              <w:jc w:val="both"/>
              <w:rPr>
                <w:rFonts w:ascii="Times New Roman" w:eastAsia="Calibri" w:hAnsi="Times New Roman" w:cs="Times New Roman"/>
                <w:iCs/>
                <w:sz w:val="20"/>
                <w:szCs w:val="20"/>
                <w:lang w:val="en-GB"/>
              </w:rPr>
            </w:pPr>
            <w:r w:rsidRPr="008F0CED">
              <w:rPr>
                <w:rFonts w:ascii="Times New Roman" w:eastAsia="Calibri" w:hAnsi="Times New Roman" w:cs="Times New Roman"/>
                <w:iCs/>
                <w:sz w:val="20"/>
                <w:szCs w:val="20"/>
                <w:lang w:val="en-GB"/>
              </w:rPr>
              <w:t>32019L1024</w:t>
            </w:r>
          </w:p>
        </w:tc>
      </w:tr>
      <w:tr w:rsidR="008F0CED" w:rsidRPr="008F0CED" w14:paraId="0A74AE9B" w14:textId="77777777" w:rsidTr="002161DA">
        <w:trPr>
          <w:jc w:val="center"/>
        </w:trPr>
        <w:tc>
          <w:tcPr>
            <w:tcW w:w="3838" w:type="pct"/>
            <w:gridSpan w:val="6"/>
            <w:vMerge w:val="restart"/>
            <w:tcBorders>
              <w:top w:val="single" w:sz="4" w:space="0" w:color="auto"/>
              <w:left w:val="single" w:sz="4" w:space="0" w:color="auto"/>
              <w:bottom w:val="single" w:sz="4" w:space="0" w:color="auto"/>
              <w:right w:val="single" w:sz="4" w:space="0" w:color="auto"/>
            </w:tcBorders>
            <w:hideMark/>
          </w:tcPr>
          <w:p w14:paraId="68F65CD8" w14:textId="77777777" w:rsidR="008F0CED" w:rsidRPr="00786BAE" w:rsidRDefault="008F0CED" w:rsidP="008F0CED">
            <w:pPr>
              <w:tabs>
                <w:tab w:val="left" w:pos="2835"/>
              </w:tabs>
              <w:spacing w:before="120" w:after="120" w:line="240" w:lineRule="auto"/>
              <w:jc w:val="both"/>
              <w:rPr>
                <w:rFonts w:ascii="Times New Roman" w:hAnsi="Times New Roman" w:cs="Times New Roman"/>
                <w:iCs/>
                <w:color w:val="000000"/>
                <w:sz w:val="20"/>
                <w:szCs w:val="20"/>
                <w:lang w:val="en-GB" w:eastAsia="en-GB"/>
              </w:rPr>
            </w:pPr>
            <w:r w:rsidRPr="008F0CED">
              <w:rPr>
                <w:rFonts w:ascii="Times New Roman" w:hAnsi="Times New Roman" w:cs="Times New Roman"/>
                <w:b/>
                <w:color w:val="000000"/>
                <w:sz w:val="20"/>
                <w:szCs w:val="20"/>
                <w:lang w:val="en-GB" w:eastAsia="en-GB"/>
              </w:rPr>
              <w:t>3</w:t>
            </w:r>
            <w:r w:rsidRPr="008F0CED">
              <w:rPr>
                <w:rFonts w:ascii="Times New Roman" w:hAnsi="Times New Roman" w:cs="Times New Roman"/>
                <w:color w:val="000000"/>
                <w:sz w:val="20"/>
                <w:szCs w:val="20"/>
                <w:lang w:val="en-GB" w:eastAsia="en-GB"/>
              </w:rPr>
              <w:t>.</w:t>
            </w:r>
            <w:r w:rsidR="00DC4795">
              <w:rPr>
                <w:rFonts w:ascii="Times New Roman" w:hAnsi="Times New Roman" w:cs="Times New Roman"/>
                <w:sz w:val="20"/>
                <w:szCs w:val="20"/>
                <w:lang w:val="sr-Cyrl-RS" w:eastAsia="en-GB"/>
              </w:rPr>
              <w:t xml:space="preserve"> </w:t>
            </w:r>
            <w:r w:rsidR="002161DA" w:rsidRPr="00786BAE">
              <w:rPr>
                <w:rFonts w:ascii="Times New Roman" w:eastAsia="Calibri" w:hAnsi="Times New Roman" w:cs="Times New Roman"/>
                <w:sz w:val="20"/>
                <w:szCs w:val="20"/>
                <w:lang w:val="sr-Cyrl-RS"/>
              </w:rPr>
              <w:t>Овлашћени предлагач прописа:  Влада</w:t>
            </w:r>
          </w:p>
          <w:p w14:paraId="4E54C1FB" w14:textId="77777777" w:rsidR="008F0CED" w:rsidRPr="00DC4795" w:rsidRDefault="00DC4795" w:rsidP="008F0CED">
            <w:pPr>
              <w:tabs>
                <w:tab w:val="left" w:pos="2835"/>
              </w:tabs>
              <w:spacing w:before="120" w:after="120" w:line="240" w:lineRule="auto"/>
              <w:jc w:val="both"/>
              <w:rPr>
                <w:rFonts w:ascii="Times New Roman" w:eastAsia="Calibri" w:hAnsi="Times New Roman" w:cs="Times New Roman"/>
                <w:iCs/>
                <w:sz w:val="20"/>
                <w:szCs w:val="20"/>
                <w:lang w:val="sr-Cyrl-RS"/>
              </w:rPr>
            </w:pPr>
            <w:r w:rsidRPr="00786BAE">
              <w:rPr>
                <w:rFonts w:ascii="Times New Roman" w:hAnsi="Times New Roman" w:cs="Times New Roman"/>
                <w:iCs/>
                <w:color w:val="000000"/>
                <w:sz w:val="20"/>
                <w:szCs w:val="20"/>
                <w:lang w:val="sr-Cyrl-RS" w:eastAsia="en-GB"/>
              </w:rPr>
              <w:t>Обрађивач</w:t>
            </w:r>
            <w:r w:rsidRPr="00786BAE">
              <w:rPr>
                <w:rFonts w:ascii="Times New Roman" w:hAnsi="Times New Roman" w:cs="Times New Roman"/>
                <w:iCs/>
                <w:color w:val="000000"/>
                <w:sz w:val="20"/>
                <w:szCs w:val="20"/>
                <w:lang w:eastAsia="en-GB"/>
              </w:rPr>
              <w:t xml:space="preserve">: </w:t>
            </w:r>
            <w:r w:rsidRPr="00786BAE">
              <w:rPr>
                <w:rFonts w:ascii="Times New Roman" w:hAnsi="Times New Roman" w:cs="Times New Roman"/>
                <w:iCs/>
                <w:color w:val="000000"/>
                <w:sz w:val="20"/>
                <w:szCs w:val="20"/>
                <w:lang w:val="sr-Cyrl-RS" w:eastAsia="en-GB"/>
              </w:rPr>
              <w:t>Министарство државне управе и локалне самоуправе</w:t>
            </w:r>
          </w:p>
        </w:tc>
        <w:tc>
          <w:tcPr>
            <w:tcW w:w="1162" w:type="pct"/>
            <w:gridSpan w:val="4"/>
            <w:tcBorders>
              <w:top w:val="single" w:sz="4" w:space="0" w:color="auto"/>
              <w:left w:val="single" w:sz="4" w:space="0" w:color="auto"/>
              <w:bottom w:val="nil"/>
              <w:right w:val="single" w:sz="4" w:space="0" w:color="auto"/>
            </w:tcBorders>
            <w:hideMark/>
          </w:tcPr>
          <w:p w14:paraId="24A28929" w14:textId="77777777" w:rsidR="008F0CED" w:rsidRPr="00DC4795" w:rsidRDefault="008F0CED" w:rsidP="008F0CED">
            <w:pPr>
              <w:tabs>
                <w:tab w:val="left" w:pos="2835"/>
              </w:tabs>
              <w:spacing w:before="120" w:after="120" w:line="240" w:lineRule="auto"/>
              <w:jc w:val="both"/>
              <w:rPr>
                <w:rFonts w:ascii="Times New Roman" w:eastAsia="Calibri" w:hAnsi="Times New Roman" w:cs="Times New Roman"/>
                <w:iCs/>
                <w:sz w:val="20"/>
                <w:szCs w:val="20"/>
                <w:lang w:val="sr-Cyrl-RS"/>
              </w:rPr>
            </w:pPr>
            <w:r w:rsidRPr="008F0CED">
              <w:rPr>
                <w:rFonts w:ascii="Times New Roman" w:eastAsia="Calibri" w:hAnsi="Times New Roman" w:cs="Times New Roman"/>
                <w:b/>
                <w:iCs/>
                <w:color w:val="000000"/>
                <w:sz w:val="20"/>
                <w:szCs w:val="20"/>
                <w:lang w:val="en-GB"/>
              </w:rPr>
              <w:t>4</w:t>
            </w:r>
            <w:r w:rsidR="00DC4795">
              <w:rPr>
                <w:rFonts w:ascii="Times New Roman" w:eastAsia="Calibri" w:hAnsi="Times New Roman" w:cs="Times New Roman"/>
                <w:iCs/>
                <w:color w:val="000000"/>
                <w:sz w:val="20"/>
                <w:szCs w:val="20"/>
                <w:lang w:val="en-GB"/>
              </w:rPr>
              <w:t xml:space="preserve">. </w:t>
            </w:r>
            <w:r w:rsidR="00DC4795" w:rsidRPr="004353C8">
              <w:rPr>
                <w:rFonts w:ascii="Times New Roman" w:eastAsia="Calibri" w:hAnsi="Times New Roman" w:cs="Times New Roman"/>
                <w:iCs/>
                <w:sz w:val="18"/>
                <w:szCs w:val="18"/>
                <w:lang w:val="sr-Cyrl-RS"/>
              </w:rPr>
              <w:t>Датум израде табеле</w:t>
            </w:r>
            <w:r w:rsidR="00DC4795">
              <w:rPr>
                <w:rFonts w:ascii="Times New Roman" w:eastAsia="Calibri" w:hAnsi="Times New Roman" w:cs="Times New Roman"/>
                <w:iCs/>
                <w:sz w:val="18"/>
                <w:szCs w:val="18"/>
              </w:rPr>
              <w:t>:</w:t>
            </w:r>
          </w:p>
        </w:tc>
      </w:tr>
      <w:tr w:rsidR="008F0CED" w:rsidRPr="008F0CED" w14:paraId="45439518" w14:textId="77777777" w:rsidTr="002161DA">
        <w:trPr>
          <w:jc w:val="center"/>
        </w:trPr>
        <w:tc>
          <w:tcPr>
            <w:tcW w:w="3838" w:type="pct"/>
            <w:gridSpan w:val="6"/>
            <w:vMerge/>
            <w:tcBorders>
              <w:top w:val="single" w:sz="4" w:space="0" w:color="auto"/>
              <w:left w:val="single" w:sz="4" w:space="0" w:color="auto"/>
              <w:bottom w:val="single" w:sz="4" w:space="0" w:color="auto"/>
              <w:right w:val="single" w:sz="4" w:space="0" w:color="auto"/>
            </w:tcBorders>
            <w:vAlign w:val="center"/>
            <w:hideMark/>
          </w:tcPr>
          <w:p w14:paraId="395B3970" w14:textId="77777777" w:rsidR="008F0CED" w:rsidRPr="008F0CED" w:rsidRDefault="008F0CED" w:rsidP="008F0CED">
            <w:pPr>
              <w:tabs>
                <w:tab w:val="left" w:pos="2835"/>
              </w:tabs>
              <w:spacing w:after="0" w:line="240" w:lineRule="auto"/>
              <w:rPr>
                <w:rFonts w:ascii="Times New Roman" w:hAnsi="Times New Roman" w:cs="Times New Roman"/>
                <w:iCs/>
                <w:sz w:val="20"/>
                <w:szCs w:val="20"/>
                <w:lang w:val="en-GB" w:eastAsia="en-GB"/>
              </w:rPr>
            </w:pPr>
          </w:p>
        </w:tc>
        <w:tc>
          <w:tcPr>
            <w:tcW w:w="1162" w:type="pct"/>
            <w:gridSpan w:val="4"/>
            <w:tcBorders>
              <w:top w:val="nil"/>
              <w:left w:val="single" w:sz="4" w:space="0" w:color="auto"/>
              <w:bottom w:val="single" w:sz="4" w:space="0" w:color="auto"/>
              <w:right w:val="single" w:sz="4" w:space="0" w:color="auto"/>
            </w:tcBorders>
            <w:hideMark/>
          </w:tcPr>
          <w:p w14:paraId="7BB76250" w14:textId="77777777" w:rsidR="008F0CED" w:rsidRPr="008F0CED" w:rsidRDefault="008F0CED" w:rsidP="008F0CED">
            <w:pPr>
              <w:tabs>
                <w:tab w:val="left" w:pos="2835"/>
              </w:tabs>
              <w:spacing w:before="120" w:after="120" w:line="240" w:lineRule="auto"/>
              <w:jc w:val="both"/>
              <w:rPr>
                <w:rFonts w:ascii="Times New Roman" w:eastAsia="Calibri" w:hAnsi="Times New Roman" w:cs="Times New Roman"/>
                <w:iCs/>
                <w:sz w:val="20"/>
                <w:szCs w:val="20"/>
                <w:lang w:val="sr-Cyrl-RS"/>
              </w:rPr>
            </w:pPr>
            <w:r w:rsidRPr="008F0CED">
              <w:rPr>
                <w:rFonts w:ascii="Times New Roman" w:eastAsia="Calibri" w:hAnsi="Times New Roman" w:cs="Times New Roman"/>
                <w:iCs/>
                <w:sz w:val="20"/>
                <w:szCs w:val="20"/>
                <w:lang w:val="sr-Cyrl-RS"/>
              </w:rPr>
              <w:t>28.11.2024.</w:t>
            </w:r>
          </w:p>
        </w:tc>
      </w:tr>
      <w:tr w:rsidR="008F0CED" w:rsidRPr="008F0CED" w14:paraId="401ACF38" w14:textId="77777777" w:rsidTr="002161DA">
        <w:trPr>
          <w:trHeight w:val="1120"/>
          <w:jc w:val="center"/>
        </w:trPr>
        <w:tc>
          <w:tcPr>
            <w:tcW w:w="3838" w:type="pct"/>
            <w:gridSpan w:val="6"/>
            <w:tcBorders>
              <w:top w:val="single" w:sz="4" w:space="0" w:color="auto"/>
              <w:left w:val="single" w:sz="4" w:space="0" w:color="auto"/>
              <w:bottom w:val="single" w:sz="4" w:space="0" w:color="auto"/>
              <w:right w:val="single" w:sz="4" w:space="0" w:color="auto"/>
            </w:tcBorders>
            <w:hideMark/>
          </w:tcPr>
          <w:p w14:paraId="4CBB8146" w14:textId="77777777" w:rsidR="008F0CED" w:rsidRPr="00DC4795" w:rsidRDefault="008F0CED" w:rsidP="008F0CED">
            <w:pPr>
              <w:tabs>
                <w:tab w:val="left" w:pos="2835"/>
              </w:tabs>
              <w:spacing w:before="120" w:after="120" w:line="240" w:lineRule="auto"/>
              <w:jc w:val="both"/>
              <w:rPr>
                <w:rFonts w:ascii="Times New Roman" w:hAnsi="Times New Roman" w:cs="Times New Roman"/>
                <w:sz w:val="20"/>
                <w:szCs w:val="20"/>
                <w:lang w:eastAsia="en-GB"/>
              </w:rPr>
            </w:pPr>
            <w:r w:rsidRPr="008F0CED">
              <w:rPr>
                <w:rFonts w:ascii="Times New Roman" w:hAnsi="Times New Roman" w:cs="Times New Roman"/>
                <w:b/>
                <w:iCs/>
                <w:color w:val="000000"/>
                <w:sz w:val="20"/>
                <w:szCs w:val="20"/>
                <w:lang w:val="en-GB" w:eastAsia="en-GB"/>
              </w:rPr>
              <w:t>5</w:t>
            </w:r>
            <w:r w:rsidR="00DC4795">
              <w:rPr>
                <w:rFonts w:ascii="Times New Roman" w:hAnsi="Times New Roman" w:cs="Times New Roman"/>
                <w:iCs/>
                <w:color w:val="000000"/>
                <w:sz w:val="20"/>
                <w:szCs w:val="20"/>
                <w:lang w:val="en-GB" w:eastAsia="en-GB"/>
              </w:rPr>
              <w:t xml:space="preserve">. </w:t>
            </w:r>
            <w:r w:rsidR="00DC4795">
              <w:rPr>
                <w:rFonts w:ascii="Times New Roman" w:hAnsi="Times New Roman" w:cs="Times New Roman"/>
                <w:iCs/>
                <w:color w:val="000000"/>
                <w:sz w:val="20"/>
                <w:szCs w:val="20"/>
                <w:lang w:val="sr-Cyrl-RS" w:eastAsia="en-GB"/>
              </w:rPr>
              <w:t>Назив</w:t>
            </w:r>
            <w:r w:rsidR="00DC4795">
              <w:rPr>
                <w:rFonts w:ascii="Times New Roman" w:hAnsi="Times New Roman" w:cs="Times New Roman"/>
                <w:iCs/>
                <w:color w:val="000000"/>
                <w:sz w:val="20"/>
                <w:szCs w:val="20"/>
                <w:lang w:eastAsia="en-GB"/>
              </w:rPr>
              <w:t>:</w:t>
            </w:r>
          </w:p>
          <w:p w14:paraId="505B462D" w14:textId="5D47B81B" w:rsidR="008F0CED" w:rsidRPr="00DC4795" w:rsidRDefault="00DC4795" w:rsidP="008F0CED">
            <w:pPr>
              <w:tabs>
                <w:tab w:val="left" w:pos="2835"/>
              </w:tabs>
              <w:spacing w:before="120" w:after="120" w:line="240" w:lineRule="auto"/>
              <w:jc w:val="both"/>
              <w:rPr>
                <w:rFonts w:ascii="Times New Roman" w:eastAsia="Calibri" w:hAnsi="Times New Roman" w:cs="Times New Roman"/>
                <w:sz w:val="20"/>
                <w:szCs w:val="20"/>
                <w:lang w:val="sr-Cyrl-RS"/>
              </w:rPr>
            </w:pPr>
            <w:r>
              <w:rPr>
                <w:rFonts w:ascii="Times New Roman" w:eastAsia="Calibri" w:hAnsi="Times New Roman" w:cs="Times New Roman"/>
                <w:sz w:val="20"/>
                <w:szCs w:val="20"/>
                <w:lang w:val="en-GB"/>
              </w:rPr>
              <w:t xml:space="preserve">0.1 </w:t>
            </w:r>
            <w:r w:rsidR="00095D63">
              <w:rPr>
                <w:rFonts w:ascii="Times New Roman" w:eastAsia="Calibri" w:hAnsi="Times New Roman" w:cs="Times New Roman"/>
                <w:sz w:val="20"/>
                <w:szCs w:val="20"/>
                <w:lang w:val="sr-Cyrl-RS"/>
              </w:rPr>
              <w:t xml:space="preserve">Предлог </w:t>
            </w:r>
            <w:r>
              <w:rPr>
                <w:rFonts w:ascii="Times New Roman" w:eastAsia="Calibri" w:hAnsi="Times New Roman" w:cs="Times New Roman"/>
                <w:sz w:val="20"/>
                <w:szCs w:val="20"/>
                <w:lang w:val="sr-Cyrl-RS"/>
              </w:rPr>
              <w:t>закона о изменама и допунама Закона о електронској управи</w:t>
            </w:r>
          </w:p>
        </w:tc>
        <w:tc>
          <w:tcPr>
            <w:tcW w:w="1162" w:type="pct"/>
            <w:gridSpan w:val="4"/>
            <w:tcBorders>
              <w:top w:val="single" w:sz="4" w:space="0" w:color="auto"/>
              <w:left w:val="single" w:sz="4" w:space="0" w:color="auto"/>
              <w:bottom w:val="single" w:sz="4" w:space="0" w:color="auto"/>
              <w:right w:val="single" w:sz="4" w:space="0" w:color="auto"/>
            </w:tcBorders>
            <w:hideMark/>
          </w:tcPr>
          <w:p w14:paraId="58A00DD4" w14:textId="77777777" w:rsidR="00DC4795" w:rsidRDefault="008F0CED" w:rsidP="00DC4795">
            <w:pPr>
              <w:spacing w:before="120" w:after="120" w:line="240" w:lineRule="auto"/>
              <w:jc w:val="both"/>
              <w:rPr>
                <w:rFonts w:ascii="Times New Roman" w:eastAsia="Calibri" w:hAnsi="Times New Roman" w:cs="Times New Roman"/>
                <w:iCs/>
                <w:sz w:val="18"/>
                <w:szCs w:val="18"/>
                <w:lang w:val="sr-Cyrl-RS"/>
              </w:rPr>
            </w:pPr>
            <w:r w:rsidRPr="008F0CED">
              <w:rPr>
                <w:rFonts w:ascii="Times New Roman" w:hAnsi="Times New Roman" w:cs="Times New Roman"/>
                <w:b/>
                <w:iCs/>
                <w:color w:val="000000"/>
                <w:sz w:val="20"/>
                <w:szCs w:val="20"/>
                <w:lang w:val="en-GB" w:eastAsia="en-GB"/>
              </w:rPr>
              <w:t>6</w:t>
            </w:r>
            <w:r w:rsidR="00DC4795">
              <w:rPr>
                <w:rFonts w:ascii="Times New Roman" w:hAnsi="Times New Roman" w:cs="Times New Roman"/>
                <w:iCs/>
                <w:color w:val="000000"/>
                <w:sz w:val="20"/>
                <w:szCs w:val="20"/>
                <w:lang w:val="en-GB" w:eastAsia="en-GB"/>
              </w:rPr>
              <w:t xml:space="preserve">. </w:t>
            </w:r>
            <w:r w:rsidR="00DC4795" w:rsidRPr="004353C8">
              <w:rPr>
                <w:rFonts w:ascii="Times New Roman" w:eastAsia="Calibri" w:hAnsi="Times New Roman" w:cs="Times New Roman"/>
                <w:iCs/>
                <w:sz w:val="18"/>
                <w:szCs w:val="18"/>
                <w:lang w:val="sr-Cyrl-RS"/>
              </w:rPr>
              <w:t>Бројчане ознаке (шифре) планираних прописа из базе НПAA:</w:t>
            </w:r>
          </w:p>
          <w:p w14:paraId="0F3F63EC" w14:textId="77777777" w:rsidR="002E48E1" w:rsidRDefault="002E48E1" w:rsidP="00DC4795">
            <w:pPr>
              <w:spacing w:before="120" w:after="120" w:line="240" w:lineRule="auto"/>
              <w:jc w:val="both"/>
              <w:rPr>
                <w:rFonts w:ascii="Times New Roman" w:eastAsia="Calibri" w:hAnsi="Times New Roman" w:cs="Times New Roman"/>
                <w:iCs/>
                <w:sz w:val="18"/>
                <w:szCs w:val="18"/>
                <w:lang w:val="sr-Latn-CS"/>
              </w:rPr>
            </w:pPr>
            <w:r>
              <w:rPr>
                <w:rFonts w:ascii="Times New Roman" w:eastAsia="Calibri" w:hAnsi="Times New Roman" w:cs="Times New Roman"/>
                <w:iCs/>
                <w:sz w:val="18"/>
                <w:szCs w:val="18"/>
                <w:lang w:val="sr-Cyrl-RS"/>
              </w:rPr>
              <w:t>2022-54</w:t>
            </w:r>
          </w:p>
          <w:p w14:paraId="0DE9096A" w14:textId="77777777" w:rsidR="008F0CED" w:rsidRPr="008F0CED" w:rsidRDefault="008F0CED" w:rsidP="008F0CED">
            <w:pPr>
              <w:tabs>
                <w:tab w:val="left" w:pos="2835"/>
              </w:tabs>
              <w:spacing w:before="120" w:after="120" w:line="240" w:lineRule="auto"/>
              <w:jc w:val="both"/>
              <w:rPr>
                <w:rFonts w:ascii="Times New Roman" w:hAnsi="Times New Roman" w:cs="Times New Roman"/>
                <w:iCs/>
                <w:color w:val="000000"/>
                <w:sz w:val="20"/>
                <w:szCs w:val="20"/>
                <w:lang w:val="en-GB" w:eastAsia="en-GB"/>
              </w:rPr>
            </w:pPr>
          </w:p>
        </w:tc>
      </w:tr>
      <w:tr w:rsidR="008F0CED" w:rsidRPr="008F0CED" w14:paraId="59AF32B0" w14:textId="77777777" w:rsidTr="002161DA">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2B6B97E7" w14:textId="094988B9" w:rsidR="008F0CED" w:rsidRPr="008F0CED" w:rsidRDefault="008F0CED" w:rsidP="00D256C1">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b/>
                <w:color w:val="000000"/>
                <w:sz w:val="20"/>
                <w:szCs w:val="20"/>
                <w:lang w:val="en-GB" w:eastAsia="en-GB"/>
              </w:rPr>
              <w:t>7</w:t>
            </w:r>
            <w:r w:rsidRPr="008F0CED">
              <w:rPr>
                <w:rFonts w:ascii="Times New Roman" w:hAnsi="Times New Roman" w:cs="Times New Roman"/>
                <w:color w:val="000000"/>
                <w:sz w:val="20"/>
                <w:szCs w:val="20"/>
                <w:lang w:val="en-GB" w:eastAsia="en-GB"/>
              </w:rPr>
              <w:t xml:space="preserve">. </w:t>
            </w:r>
            <w:r w:rsidR="00DC4795" w:rsidRPr="004353C8">
              <w:rPr>
                <w:rFonts w:ascii="Times New Roman" w:eastAsia="Calibri" w:hAnsi="Times New Roman" w:cs="Times New Roman"/>
                <w:sz w:val="18"/>
                <w:szCs w:val="18"/>
                <w:lang w:val="sr-Cyrl-RS"/>
              </w:rPr>
              <w:t>Усклађеност одредби прописа са одредбама прописа ЕУ:</w:t>
            </w:r>
            <w:bookmarkStart w:id="0" w:name="_GoBack"/>
            <w:bookmarkEnd w:id="0"/>
          </w:p>
        </w:tc>
      </w:tr>
      <w:tr w:rsidR="008F0CED" w:rsidRPr="008F0CED" w14:paraId="703911ED"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hideMark/>
          </w:tcPr>
          <w:p w14:paraId="31386580"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а)</w:t>
            </w:r>
          </w:p>
        </w:tc>
        <w:tc>
          <w:tcPr>
            <w:tcW w:w="945" w:type="pct"/>
            <w:tcBorders>
              <w:top w:val="single" w:sz="4" w:space="0" w:color="auto"/>
              <w:left w:val="single" w:sz="4" w:space="0" w:color="auto"/>
              <w:bottom w:val="single" w:sz="4" w:space="0" w:color="auto"/>
              <w:right w:val="single" w:sz="4" w:space="0" w:color="auto"/>
            </w:tcBorders>
            <w:hideMark/>
          </w:tcPr>
          <w:p w14:paraId="5B9AB7FD"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а1)</w:t>
            </w:r>
          </w:p>
        </w:tc>
        <w:tc>
          <w:tcPr>
            <w:tcW w:w="324" w:type="pct"/>
            <w:tcBorders>
              <w:top w:val="single" w:sz="4" w:space="0" w:color="auto"/>
              <w:left w:val="single" w:sz="4" w:space="0" w:color="auto"/>
              <w:bottom w:val="single" w:sz="4" w:space="0" w:color="auto"/>
              <w:right w:val="single" w:sz="4" w:space="0" w:color="auto"/>
            </w:tcBorders>
            <w:hideMark/>
          </w:tcPr>
          <w:p w14:paraId="5991529B" w14:textId="77777777" w:rsidR="008F0CED" w:rsidRPr="008F0CED" w:rsidRDefault="008F0CED" w:rsidP="008F0CED">
            <w:pPr>
              <w:tabs>
                <w:tab w:val="left" w:pos="2835"/>
              </w:tabs>
              <w:spacing w:before="120" w:after="120" w:line="240" w:lineRule="auto"/>
              <w:ind w:left="-50"/>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b)</w:t>
            </w:r>
          </w:p>
        </w:tc>
        <w:tc>
          <w:tcPr>
            <w:tcW w:w="1231" w:type="pct"/>
            <w:tcBorders>
              <w:top w:val="single" w:sz="4" w:space="0" w:color="auto"/>
              <w:left w:val="single" w:sz="4" w:space="0" w:color="auto"/>
              <w:bottom w:val="single" w:sz="4" w:space="0" w:color="auto"/>
              <w:right w:val="single" w:sz="4" w:space="0" w:color="auto"/>
            </w:tcBorders>
            <w:hideMark/>
          </w:tcPr>
          <w:p w14:paraId="371ADB27" w14:textId="77777777" w:rsidR="008F0CED" w:rsidRPr="008F0CED" w:rsidRDefault="008F0CED" w:rsidP="008F0CED">
            <w:pPr>
              <w:tabs>
                <w:tab w:val="left" w:pos="2835"/>
              </w:tabs>
              <w:spacing w:before="120" w:after="120" w:line="240" w:lineRule="auto"/>
              <w:ind w:left="-50"/>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b1)</w:t>
            </w:r>
          </w:p>
        </w:tc>
        <w:tc>
          <w:tcPr>
            <w:tcW w:w="442" w:type="pct"/>
            <w:tcBorders>
              <w:top w:val="single" w:sz="4" w:space="0" w:color="auto"/>
              <w:left w:val="single" w:sz="4" w:space="0" w:color="auto"/>
              <w:bottom w:val="single" w:sz="4" w:space="0" w:color="auto"/>
              <w:right w:val="single" w:sz="4" w:space="0" w:color="auto"/>
            </w:tcBorders>
            <w:hideMark/>
          </w:tcPr>
          <w:p w14:paraId="1C562EA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c)</w:t>
            </w:r>
          </w:p>
        </w:tc>
        <w:tc>
          <w:tcPr>
            <w:tcW w:w="599" w:type="pct"/>
            <w:gridSpan w:val="2"/>
            <w:tcBorders>
              <w:top w:val="single" w:sz="4" w:space="0" w:color="auto"/>
              <w:left w:val="single" w:sz="4" w:space="0" w:color="auto"/>
              <w:bottom w:val="single" w:sz="4" w:space="0" w:color="auto"/>
              <w:right w:val="single" w:sz="4" w:space="0" w:color="auto"/>
            </w:tcBorders>
            <w:hideMark/>
          </w:tcPr>
          <w:p w14:paraId="31487B16" w14:textId="77777777" w:rsidR="008F0CED" w:rsidRPr="008F0CED" w:rsidRDefault="008F0CED" w:rsidP="008F0CED">
            <w:pPr>
              <w:tabs>
                <w:tab w:val="left" w:pos="2835"/>
              </w:tabs>
              <w:spacing w:before="120" w:after="120" w:line="240" w:lineRule="auto"/>
              <w:ind w:firstLine="21"/>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d)</w:t>
            </w:r>
          </w:p>
        </w:tc>
        <w:tc>
          <w:tcPr>
            <w:tcW w:w="513" w:type="pct"/>
            <w:tcBorders>
              <w:top w:val="single" w:sz="4" w:space="0" w:color="auto"/>
              <w:left w:val="single" w:sz="4" w:space="0" w:color="auto"/>
              <w:bottom w:val="single" w:sz="4" w:space="0" w:color="auto"/>
              <w:right w:val="single" w:sz="4" w:space="0" w:color="auto"/>
            </w:tcBorders>
            <w:hideMark/>
          </w:tcPr>
          <w:p w14:paraId="44A6BA3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e)</w:t>
            </w:r>
          </w:p>
        </w:tc>
        <w:tc>
          <w:tcPr>
            <w:tcW w:w="535" w:type="pct"/>
            <w:tcBorders>
              <w:top w:val="single" w:sz="4" w:space="0" w:color="auto"/>
              <w:left w:val="single" w:sz="4" w:space="0" w:color="auto"/>
              <w:bottom w:val="single" w:sz="4" w:space="0" w:color="auto"/>
              <w:right w:val="single" w:sz="4" w:space="0" w:color="auto"/>
            </w:tcBorders>
            <w:hideMark/>
          </w:tcPr>
          <w:p w14:paraId="4B434EF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f)</w:t>
            </w:r>
          </w:p>
        </w:tc>
      </w:tr>
      <w:tr w:rsidR="008F0CED" w:rsidRPr="008F0CED" w14:paraId="32DE48BA"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hideMark/>
          </w:tcPr>
          <w:p w14:paraId="587193C7" w14:textId="77777777" w:rsidR="008F0CED" w:rsidRPr="002E48E1" w:rsidRDefault="002E48E1" w:rsidP="008F0CED">
            <w:pPr>
              <w:tabs>
                <w:tab w:val="left" w:pos="2835"/>
              </w:tabs>
              <w:spacing w:before="120" w:after="120" w:line="240" w:lineRule="auto"/>
              <w:ind w:firstLine="5"/>
              <w:jc w:val="both"/>
              <w:rPr>
                <w:rFonts w:ascii="Times New Roman" w:hAnsi="Times New Roman" w:cs="Times New Roman"/>
                <w:sz w:val="20"/>
                <w:szCs w:val="20"/>
                <w:lang w:val="sr-Cyrl-RS" w:eastAsia="en-GB"/>
              </w:rPr>
            </w:pPr>
            <w:r>
              <w:rPr>
                <w:rFonts w:ascii="Times New Roman" w:hAnsi="Times New Roman" w:cs="Times New Roman"/>
                <w:sz w:val="20"/>
                <w:szCs w:val="20"/>
                <w:lang w:val="sr-Cyrl-RS" w:eastAsia="en-GB"/>
              </w:rPr>
              <w:t>Одредба прописа ЕУ</w:t>
            </w:r>
          </w:p>
        </w:tc>
        <w:tc>
          <w:tcPr>
            <w:tcW w:w="945" w:type="pct"/>
            <w:tcBorders>
              <w:top w:val="single" w:sz="4" w:space="0" w:color="auto"/>
              <w:left w:val="single" w:sz="4" w:space="0" w:color="auto"/>
              <w:bottom w:val="single" w:sz="4" w:space="0" w:color="auto"/>
              <w:right w:val="single" w:sz="4" w:space="0" w:color="auto"/>
            </w:tcBorders>
            <w:hideMark/>
          </w:tcPr>
          <w:p w14:paraId="183F1BAD" w14:textId="77777777" w:rsidR="008F0CED" w:rsidRPr="00786BAE" w:rsidRDefault="002E48E1" w:rsidP="002E48E1">
            <w:pPr>
              <w:tabs>
                <w:tab w:val="left" w:pos="2835"/>
              </w:tabs>
              <w:spacing w:after="0" w:line="240" w:lineRule="auto"/>
              <w:rPr>
                <w:rFonts w:ascii="Times New Roman" w:hAnsi="Times New Roman" w:cs="Times New Roman"/>
                <w:sz w:val="20"/>
                <w:szCs w:val="20"/>
                <w:lang w:val="sr-Cyrl-RS" w:eastAsia="en-GB"/>
              </w:rPr>
            </w:pPr>
            <w:r w:rsidRPr="00786BAE">
              <w:rPr>
                <w:rFonts w:ascii="Times New Roman" w:hAnsi="Times New Roman" w:cs="Times New Roman"/>
                <w:sz w:val="20"/>
                <w:szCs w:val="20"/>
                <w:lang w:val="sr-Cyrl-RS" w:eastAsia="en-GB"/>
              </w:rPr>
              <w:t>Садржина одредбе</w:t>
            </w:r>
          </w:p>
        </w:tc>
        <w:tc>
          <w:tcPr>
            <w:tcW w:w="324" w:type="pct"/>
            <w:tcBorders>
              <w:top w:val="single" w:sz="4" w:space="0" w:color="auto"/>
              <w:left w:val="single" w:sz="4" w:space="0" w:color="auto"/>
              <w:bottom w:val="single" w:sz="4" w:space="0" w:color="auto"/>
              <w:right w:val="single" w:sz="4" w:space="0" w:color="auto"/>
            </w:tcBorders>
            <w:hideMark/>
          </w:tcPr>
          <w:p w14:paraId="48158248" w14:textId="77777777" w:rsidR="008F0CED" w:rsidRPr="00786BAE" w:rsidRDefault="002E48E1" w:rsidP="002E48E1">
            <w:pPr>
              <w:tabs>
                <w:tab w:val="left" w:pos="2835"/>
              </w:tabs>
              <w:spacing w:before="120" w:after="120" w:line="240" w:lineRule="auto"/>
              <w:jc w:val="both"/>
              <w:rPr>
                <w:rFonts w:ascii="Times New Roman" w:hAnsi="Times New Roman" w:cs="Times New Roman"/>
                <w:sz w:val="20"/>
                <w:szCs w:val="20"/>
                <w:lang w:val="sr-Cyrl-RS" w:eastAsia="en-GB"/>
              </w:rPr>
            </w:pPr>
            <w:r w:rsidRPr="00786BAE">
              <w:rPr>
                <w:rFonts w:ascii="Times New Roman" w:hAnsi="Times New Roman" w:cs="Times New Roman"/>
                <w:sz w:val="20"/>
                <w:szCs w:val="20"/>
                <w:lang w:val="sr-Cyrl-RS" w:eastAsia="en-GB"/>
              </w:rPr>
              <w:t>Одредбе прописа Р. Србије</w:t>
            </w:r>
          </w:p>
        </w:tc>
        <w:tc>
          <w:tcPr>
            <w:tcW w:w="1231" w:type="pct"/>
            <w:tcBorders>
              <w:top w:val="single" w:sz="4" w:space="0" w:color="auto"/>
              <w:left w:val="single" w:sz="4" w:space="0" w:color="auto"/>
              <w:bottom w:val="single" w:sz="4" w:space="0" w:color="auto"/>
              <w:right w:val="single" w:sz="4" w:space="0" w:color="auto"/>
            </w:tcBorders>
            <w:hideMark/>
          </w:tcPr>
          <w:p w14:paraId="7C33D41A" w14:textId="77777777" w:rsidR="008F0CED" w:rsidRPr="00786BAE" w:rsidRDefault="002E48E1" w:rsidP="002E48E1">
            <w:pPr>
              <w:tabs>
                <w:tab w:val="left" w:pos="2835"/>
              </w:tabs>
              <w:spacing w:after="0" w:line="240" w:lineRule="auto"/>
              <w:rPr>
                <w:rFonts w:ascii="Times New Roman" w:hAnsi="Times New Roman" w:cs="Times New Roman"/>
                <w:sz w:val="20"/>
                <w:szCs w:val="20"/>
                <w:lang w:val="sr-Cyrl-RS" w:eastAsia="en-GB"/>
              </w:rPr>
            </w:pPr>
            <w:r w:rsidRPr="00786BAE">
              <w:rPr>
                <w:rFonts w:ascii="Times New Roman" w:hAnsi="Times New Roman" w:cs="Times New Roman"/>
                <w:sz w:val="20"/>
                <w:szCs w:val="20"/>
                <w:lang w:val="sr-Cyrl-RS" w:eastAsia="en-GB"/>
              </w:rPr>
              <w:t>Садржина одредбе</w:t>
            </w:r>
          </w:p>
        </w:tc>
        <w:tc>
          <w:tcPr>
            <w:tcW w:w="442" w:type="pct"/>
            <w:tcBorders>
              <w:top w:val="single" w:sz="4" w:space="0" w:color="auto"/>
              <w:left w:val="single" w:sz="4" w:space="0" w:color="auto"/>
              <w:bottom w:val="single" w:sz="4" w:space="0" w:color="auto"/>
              <w:right w:val="single" w:sz="4" w:space="0" w:color="auto"/>
            </w:tcBorders>
            <w:hideMark/>
          </w:tcPr>
          <w:p w14:paraId="6B5CE261" w14:textId="77777777" w:rsidR="008F0CED" w:rsidRPr="00786BAE" w:rsidRDefault="002E48E1" w:rsidP="002E48E1">
            <w:pPr>
              <w:tabs>
                <w:tab w:val="left" w:pos="2835"/>
              </w:tabs>
              <w:spacing w:before="120" w:after="120" w:line="240" w:lineRule="auto"/>
              <w:jc w:val="both"/>
              <w:rPr>
                <w:rFonts w:ascii="Times New Roman" w:hAnsi="Times New Roman" w:cs="Times New Roman"/>
                <w:sz w:val="20"/>
                <w:szCs w:val="20"/>
                <w:lang w:val="en-GB" w:eastAsia="en-GB"/>
              </w:rPr>
            </w:pPr>
            <w:r w:rsidRPr="00786BAE">
              <w:rPr>
                <w:rFonts w:ascii="Times New Roman" w:eastAsia="Calibri" w:hAnsi="Times New Roman" w:cs="Times New Roman"/>
                <w:sz w:val="20"/>
                <w:szCs w:val="20"/>
                <w:lang w:val="sr-Cyrl-RS"/>
              </w:rPr>
              <w:t>Усклађеност</w:t>
            </w:r>
            <w:r w:rsidRPr="00786BAE">
              <w:rPr>
                <w:rFonts w:ascii="Times New Roman" w:eastAsia="Calibri" w:hAnsi="Times New Roman" w:cs="Times New Roman"/>
                <w:sz w:val="20"/>
                <w:szCs w:val="20"/>
                <w:vertAlign w:val="superscript"/>
                <w:lang w:val="sr-Cyrl-RS"/>
              </w:rPr>
              <w:footnoteReference w:id="1"/>
            </w:r>
          </w:p>
        </w:tc>
        <w:tc>
          <w:tcPr>
            <w:tcW w:w="599" w:type="pct"/>
            <w:gridSpan w:val="2"/>
            <w:tcBorders>
              <w:top w:val="single" w:sz="4" w:space="0" w:color="auto"/>
              <w:left w:val="single" w:sz="4" w:space="0" w:color="auto"/>
              <w:bottom w:val="single" w:sz="4" w:space="0" w:color="auto"/>
              <w:right w:val="single" w:sz="4" w:space="0" w:color="auto"/>
            </w:tcBorders>
            <w:hideMark/>
          </w:tcPr>
          <w:p w14:paraId="656583AB" w14:textId="77777777" w:rsidR="008F0CED" w:rsidRPr="00786BAE" w:rsidRDefault="002E48E1" w:rsidP="008F0CED">
            <w:pPr>
              <w:tabs>
                <w:tab w:val="left" w:pos="2835"/>
              </w:tabs>
              <w:spacing w:before="120" w:after="120" w:line="240" w:lineRule="auto"/>
              <w:ind w:firstLine="21"/>
              <w:jc w:val="both"/>
              <w:rPr>
                <w:rFonts w:ascii="Times New Roman" w:hAnsi="Times New Roman" w:cs="Times New Roman"/>
                <w:sz w:val="20"/>
                <w:szCs w:val="20"/>
                <w:lang w:val="en-GB" w:eastAsia="en-GB"/>
              </w:rPr>
            </w:pPr>
            <w:r w:rsidRPr="00786BAE">
              <w:rPr>
                <w:rFonts w:ascii="Times New Roman" w:eastAsia="Calibri" w:hAnsi="Times New Roman" w:cs="Times New Roman"/>
                <w:sz w:val="20"/>
                <w:szCs w:val="20"/>
                <w:lang w:val="sr-Cyrl-RS"/>
              </w:rPr>
              <w:t>Разлози за делимичну усклађеност, неусклађеност или непреносивост</w:t>
            </w:r>
          </w:p>
        </w:tc>
        <w:tc>
          <w:tcPr>
            <w:tcW w:w="513" w:type="pct"/>
            <w:tcBorders>
              <w:top w:val="single" w:sz="4" w:space="0" w:color="auto"/>
              <w:left w:val="single" w:sz="4" w:space="0" w:color="auto"/>
              <w:bottom w:val="single" w:sz="4" w:space="0" w:color="auto"/>
              <w:right w:val="single" w:sz="4" w:space="0" w:color="auto"/>
            </w:tcBorders>
            <w:hideMark/>
          </w:tcPr>
          <w:p w14:paraId="02792EA3" w14:textId="77777777" w:rsidR="008F0CED" w:rsidRPr="00786BAE" w:rsidRDefault="002E48E1" w:rsidP="008F0CED">
            <w:pPr>
              <w:tabs>
                <w:tab w:val="left" w:pos="2835"/>
              </w:tabs>
              <w:spacing w:before="120" w:after="120" w:line="240" w:lineRule="auto"/>
              <w:jc w:val="both"/>
              <w:rPr>
                <w:rFonts w:ascii="Times New Roman" w:hAnsi="Times New Roman" w:cs="Times New Roman"/>
                <w:sz w:val="20"/>
                <w:szCs w:val="20"/>
                <w:lang w:val="sr-Cyrl-RS" w:eastAsia="en-GB"/>
              </w:rPr>
            </w:pPr>
            <w:r w:rsidRPr="00786BAE">
              <w:rPr>
                <w:rFonts w:ascii="Times New Roman" w:hAnsi="Times New Roman" w:cs="Times New Roman"/>
                <w:sz w:val="20"/>
                <w:szCs w:val="20"/>
                <w:lang w:val="sr-Cyrl-RS" w:eastAsia="en-GB"/>
              </w:rPr>
              <w:t>Датум предвиђен за потпуно усклађивање</w:t>
            </w:r>
          </w:p>
        </w:tc>
        <w:tc>
          <w:tcPr>
            <w:tcW w:w="535" w:type="pct"/>
            <w:tcBorders>
              <w:top w:val="single" w:sz="4" w:space="0" w:color="auto"/>
              <w:left w:val="single" w:sz="4" w:space="0" w:color="auto"/>
              <w:bottom w:val="single" w:sz="4" w:space="0" w:color="auto"/>
              <w:right w:val="single" w:sz="4" w:space="0" w:color="auto"/>
            </w:tcBorders>
            <w:hideMark/>
          </w:tcPr>
          <w:p w14:paraId="7DFECBD3" w14:textId="77777777" w:rsidR="008F0CED" w:rsidRPr="00786BAE" w:rsidRDefault="002E48E1" w:rsidP="008F0CED">
            <w:pPr>
              <w:tabs>
                <w:tab w:val="left" w:pos="2835"/>
              </w:tabs>
              <w:spacing w:before="120" w:after="120" w:line="240" w:lineRule="auto"/>
              <w:jc w:val="both"/>
              <w:rPr>
                <w:rFonts w:ascii="Times New Roman" w:hAnsi="Times New Roman" w:cs="Times New Roman"/>
                <w:sz w:val="20"/>
                <w:szCs w:val="20"/>
                <w:lang w:val="en-GB" w:eastAsia="en-GB"/>
              </w:rPr>
            </w:pPr>
            <w:r w:rsidRPr="00786BAE">
              <w:rPr>
                <w:rFonts w:ascii="Times New Roman" w:eastAsia="Calibri" w:hAnsi="Times New Roman" w:cs="Times New Roman"/>
                <w:sz w:val="20"/>
                <w:szCs w:val="20"/>
                <w:lang w:val="sr-Cyrl-RS"/>
              </w:rPr>
              <w:t>Напомена о усклађености</w:t>
            </w:r>
          </w:p>
        </w:tc>
      </w:tr>
      <w:tr w:rsidR="008F0CED" w:rsidRPr="008F0CED" w14:paraId="76A9D6AD"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498E7B5"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1.1</w:t>
            </w:r>
          </w:p>
        </w:tc>
        <w:tc>
          <w:tcPr>
            <w:tcW w:w="945" w:type="pct"/>
            <w:tcBorders>
              <w:top w:val="single" w:sz="4" w:space="0" w:color="auto"/>
              <w:left w:val="single" w:sz="4" w:space="0" w:color="auto"/>
              <w:bottom w:val="single" w:sz="4" w:space="0" w:color="auto"/>
              <w:right w:val="single" w:sz="4" w:space="0" w:color="auto"/>
            </w:tcBorders>
          </w:tcPr>
          <w:p w14:paraId="48FDBFF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In order to promote the use of open data and stimulate innovation in products and services, this Directive establishes a set of minimum rules governing the re-use and the practical arrangements for facilitating the re-use of:</w:t>
            </w:r>
          </w:p>
        </w:tc>
        <w:tc>
          <w:tcPr>
            <w:tcW w:w="324" w:type="pct"/>
            <w:tcBorders>
              <w:top w:val="single" w:sz="4" w:space="0" w:color="auto"/>
              <w:left w:val="single" w:sz="4" w:space="0" w:color="auto"/>
              <w:bottom w:val="single" w:sz="4" w:space="0" w:color="auto"/>
              <w:right w:val="single" w:sz="4" w:space="0" w:color="auto"/>
            </w:tcBorders>
          </w:tcPr>
          <w:p w14:paraId="49B9CC21"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77D8FBA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5A3C3F6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НП</w:t>
            </w:r>
          </w:p>
        </w:tc>
        <w:tc>
          <w:tcPr>
            <w:tcW w:w="599" w:type="pct"/>
            <w:gridSpan w:val="2"/>
            <w:tcBorders>
              <w:top w:val="single" w:sz="4" w:space="0" w:color="auto"/>
              <w:left w:val="single" w:sz="4" w:space="0" w:color="auto"/>
              <w:bottom w:val="single" w:sz="4" w:space="0" w:color="auto"/>
              <w:right w:val="single" w:sz="4" w:space="0" w:color="auto"/>
            </w:tcBorders>
          </w:tcPr>
          <w:p w14:paraId="5459B36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highlight w:val="yellow"/>
                <w:lang w:val="en-GB" w:eastAsia="en-GB"/>
              </w:rPr>
            </w:pPr>
            <w:r w:rsidRPr="008F0CED">
              <w:rPr>
                <w:rFonts w:ascii="Times New Roman" w:hAnsi="Times New Roman" w:cs="Times New Roman"/>
                <w:sz w:val="20"/>
                <w:szCs w:val="20"/>
                <w:lang w:val="sr-Cyrl-RS" w:eastAsia="en-GB"/>
              </w:rPr>
              <w:t>Није примењиво јер овај члан/став/тачка дефинише сврху законодавства ЕУ.</w:t>
            </w:r>
          </w:p>
        </w:tc>
        <w:tc>
          <w:tcPr>
            <w:tcW w:w="513" w:type="pct"/>
            <w:tcBorders>
              <w:top w:val="single" w:sz="4" w:space="0" w:color="auto"/>
              <w:left w:val="single" w:sz="4" w:space="0" w:color="auto"/>
              <w:bottom w:val="single" w:sz="4" w:space="0" w:color="auto"/>
              <w:right w:val="single" w:sz="4" w:space="0" w:color="auto"/>
            </w:tcBorders>
          </w:tcPr>
          <w:p w14:paraId="10454859"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4CF5397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64645C59"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6C9DAC3F" w14:textId="77777777" w:rsidR="008F0CED" w:rsidRPr="008F0CED" w:rsidRDefault="008F0CED" w:rsidP="00194F95">
            <w:pPr>
              <w:numPr>
                <w:ilvl w:val="1"/>
                <w:numId w:val="1"/>
              </w:numPr>
              <w:tabs>
                <w:tab w:val="left" w:pos="2835"/>
              </w:tabs>
              <w:spacing w:before="120" w:after="120" w:line="240" w:lineRule="auto"/>
              <w:contextualSpacing/>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 a)</w:t>
            </w:r>
          </w:p>
        </w:tc>
        <w:tc>
          <w:tcPr>
            <w:tcW w:w="945" w:type="pct"/>
            <w:tcBorders>
              <w:top w:val="single" w:sz="4" w:space="0" w:color="auto"/>
              <w:left w:val="single" w:sz="4" w:space="0" w:color="auto"/>
              <w:bottom w:val="single" w:sz="4" w:space="0" w:color="auto"/>
              <w:right w:val="single" w:sz="4" w:space="0" w:color="auto"/>
            </w:tcBorders>
          </w:tcPr>
          <w:p w14:paraId="77E5E166"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existing documents held by public sector bodies of the Member States;</w:t>
            </w:r>
          </w:p>
        </w:tc>
        <w:tc>
          <w:tcPr>
            <w:tcW w:w="324" w:type="pct"/>
            <w:tcBorders>
              <w:top w:val="single" w:sz="4" w:space="0" w:color="auto"/>
              <w:left w:val="single" w:sz="4" w:space="0" w:color="auto"/>
              <w:bottom w:val="single" w:sz="4" w:space="0" w:color="auto"/>
              <w:right w:val="single" w:sz="4" w:space="0" w:color="auto"/>
            </w:tcBorders>
          </w:tcPr>
          <w:p w14:paraId="4904F147"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5DA907E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38A23F2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435E9C01" w14:textId="77777777" w:rsidR="008F0CED" w:rsidRPr="008F0CED" w:rsidRDefault="008F0CED" w:rsidP="008F0CED">
            <w:pPr>
              <w:tabs>
                <w:tab w:val="left" w:pos="2835"/>
              </w:tabs>
              <w:spacing w:before="120" w:after="120" w:line="240" w:lineRule="auto"/>
              <w:ind w:firstLine="21"/>
              <w:jc w:val="both"/>
              <w:rPr>
                <w:rFonts w:ascii="Times New Roman" w:hAnsi="Times New Roman" w:cs="Times New Roman"/>
                <w:sz w:val="20"/>
                <w:szCs w:val="20"/>
                <w:highlight w:val="yellow"/>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1F93B97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highlight w:val="yellow"/>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013EE1AD"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highlight w:val="yellow"/>
                <w:lang w:val="sr-Cyrl-RS" w:eastAsia="en-GB"/>
              </w:rPr>
            </w:pPr>
            <w:r w:rsidRPr="008F0CED">
              <w:rPr>
                <w:rFonts w:ascii="Times New Roman" w:hAnsi="Times New Roman" w:cs="Times New Roman"/>
                <w:sz w:val="20"/>
                <w:szCs w:val="20"/>
                <w:lang w:val="sr-Cyrl-RS" w:eastAsia="en-GB"/>
              </w:rPr>
              <w:t xml:space="preserve">Регулисано Законом о слободном </w:t>
            </w:r>
            <w:r w:rsidRPr="008F0CED">
              <w:rPr>
                <w:rFonts w:ascii="Times New Roman" w:hAnsi="Times New Roman" w:cs="Times New Roman"/>
                <w:sz w:val="20"/>
                <w:szCs w:val="20"/>
                <w:lang w:val="sr-Cyrl-RS" w:eastAsia="en-GB"/>
              </w:rPr>
              <w:lastRenderedPageBreak/>
              <w:t>приступу информацијама од јавног значаја</w:t>
            </w:r>
          </w:p>
        </w:tc>
      </w:tr>
      <w:tr w:rsidR="008F0CED" w:rsidRPr="008F0CED" w14:paraId="69A4D9CA"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7937AC81" w14:textId="77777777" w:rsidR="008F0CED" w:rsidRPr="008F0CED" w:rsidRDefault="008F0CED" w:rsidP="00194F95">
            <w:pPr>
              <w:numPr>
                <w:ilvl w:val="1"/>
                <w:numId w:val="2"/>
              </w:numPr>
              <w:tabs>
                <w:tab w:val="left" w:pos="2835"/>
              </w:tabs>
              <w:spacing w:before="120" w:after="120" w:line="240" w:lineRule="auto"/>
              <w:contextualSpacing/>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lastRenderedPageBreak/>
              <w:t>b)</w:t>
            </w:r>
          </w:p>
        </w:tc>
        <w:tc>
          <w:tcPr>
            <w:tcW w:w="945" w:type="pct"/>
            <w:tcBorders>
              <w:top w:val="single" w:sz="4" w:space="0" w:color="auto"/>
              <w:left w:val="single" w:sz="4" w:space="0" w:color="auto"/>
              <w:bottom w:val="single" w:sz="4" w:space="0" w:color="auto"/>
              <w:right w:val="single" w:sz="4" w:space="0" w:color="auto"/>
            </w:tcBorders>
          </w:tcPr>
          <w:p w14:paraId="67E1C4E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existing documents held by public undertakings that are:</w:t>
            </w:r>
          </w:p>
          <w:p w14:paraId="5B4C9FD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(i) active in the areas defined in Directive 2014/25/EU; (ii) acting as public service operators pursuant to Article 2 of Regulation (EC) No 1370/2007; (iii) acting as air carriers fulfilling public service obligations pursuant to Article 16 of Regulation (EC) No 1008/2008; or (iv) acting as Community shipowners fulfilling public service obligations pursuant to Article 4 of Regulation (EEC) No 3577/92;</w:t>
            </w:r>
          </w:p>
        </w:tc>
        <w:tc>
          <w:tcPr>
            <w:tcW w:w="324" w:type="pct"/>
            <w:tcBorders>
              <w:top w:val="single" w:sz="4" w:space="0" w:color="auto"/>
              <w:left w:val="single" w:sz="4" w:space="0" w:color="auto"/>
              <w:bottom w:val="single" w:sz="4" w:space="0" w:color="auto"/>
              <w:right w:val="single" w:sz="4" w:space="0" w:color="auto"/>
            </w:tcBorders>
          </w:tcPr>
          <w:p w14:paraId="259E1DC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1.1</w:t>
            </w:r>
          </w:p>
        </w:tc>
        <w:tc>
          <w:tcPr>
            <w:tcW w:w="1231" w:type="pct"/>
            <w:vMerge w:val="restart"/>
            <w:tcBorders>
              <w:top w:val="single" w:sz="4" w:space="0" w:color="auto"/>
              <w:left w:val="single" w:sz="4" w:space="0" w:color="auto"/>
              <w:right w:val="single" w:sz="4" w:space="0" w:color="auto"/>
            </w:tcBorders>
          </w:tcPr>
          <w:p w14:paraId="3DEA41FA"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roofErr w:type="spellStart"/>
            <w:r w:rsidRPr="008F0CED">
              <w:rPr>
                <w:rFonts w:ascii="Times New Roman" w:hAnsi="Times New Roman" w:cs="Times New Roman"/>
                <w:sz w:val="20"/>
                <w:szCs w:val="20"/>
                <w:lang w:val="en-GB" w:eastAsia="en-GB"/>
              </w:rPr>
              <w:t>Овим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законом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уређују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обављање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послова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управе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државних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органа</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организација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органа</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организација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покрајинске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аутономије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органа</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организација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јединица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локалне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самоуправе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установа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јавних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предузећа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посебних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органа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преко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остварује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регулаторна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функција</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правних</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физичких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лица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којима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поверена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јавна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овлашћења</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даљем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тексту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орган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употребом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информационо-комуникационих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технологија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односно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услови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за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успостављање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одржавање</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коришћење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интероперабилних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информационо-комуникационих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технологија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органа</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даљем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тексту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електронска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управа</w:t>
            </w:r>
            <w:proofErr w:type="spellEnd"/>
            <w:r w:rsidRPr="008F0CED">
              <w:rPr>
                <w:rFonts w:ascii="Times New Roman" w:hAnsi="Times New Roman" w:cs="Times New Roman"/>
                <w:sz w:val="20"/>
                <w:szCs w:val="20"/>
                <w:lang w:val="en-GB" w:eastAsia="en-GB"/>
              </w:rPr>
              <w:t>).</w:t>
            </w:r>
          </w:p>
        </w:tc>
        <w:tc>
          <w:tcPr>
            <w:tcW w:w="442" w:type="pct"/>
            <w:tcBorders>
              <w:top w:val="single" w:sz="4" w:space="0" w:color="auto"/>
              <w:left w:val="single" w:sz="4" w:space="0" w:color="auto"/>
              <w:bottom w:val="single" w:sz="4" w:space="0" w:color="auto"/>
              <w:right w:val="single" w:sz="4" w:space="0" w:color="auto"/>
            </w:tcBorders>
          </w:tcPr>
          <w:p w14:paraId="5EF1DB0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vMerge w:val="restart"/>
            <w:tcBorders>
              <w:top w:val="single" w:sz="4" w:space="0" w:color="auto"/>
              <w:left w:val="single" w:sz="4" w:space="0" w:color="auto"/>
              <w:right w:val="single" w:sz="4" w:space="0" w:color="auto"/>
            </w:tcBorders>
          </w:tcPr>
          <w:p w14:paraId="7F6B7E44"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Подаци јавних предузећа, јавне власти, као и истраживачки подаци настају у раду институција (органа у смислу овог закона) који су субјекти овог закона.</w:t>
            </w:r>
          </w:p>
        </w:tc>
        <w:tc>
          <w:tcPr>
            <w:tcW w:w="513" w:type="pct"/>
            <w:tcBorders>
              <w:top w:val="single" w:sz="4" w:space="0" w:color="auto"/>
              <w:left w:val="single" w:sz="4" w:space="0" w:color="auto"/>
              <w:bottom w:val="single" w:sz="4" w:space="0" w:color="auto"/>
              <w:right w:val="single" w:sz="4" w:space="0" w:color="auto"/>
            </w:tcBorders>
          </w:tcPr>
          <w:p w14:paraId="59D7ECC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4BA3E569"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4E2720E5"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744402C1" w14:textId="77777777" w:rsidR="008F0CED" w:rsidRPr="008F0CED" w:rsidRDefault="008F0CED" w:rsidP="00194F95">
            <w:pPr>
              <w:numPr>
                <w:ilvl w:val="1"/>
                <w:numId w:val="3"/>
              </w:numPr>
              <w:tabs>
                <w:tab w:val="left" w:pos="2835"/>
              </w:tabs>
              <w:spacing w:before="120" w:after="120" w:line="240" w:lineRule="auto"/>
              <w:contextualSpacing/>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c)</w:t>
            </w:r>
          </w:p>
        </w:tc>
        <w:tc>
          <w:tcPr>
            <w:tcW w:w="945" w:type="pct"/>
            <w:tcBorders>
              <w:top w:val="single" w:sz="4" w:space="0" w:color="auto"/>
              <w:left w:val="single" w:sz="4" w:space="0" w:color="auto"/>
              <w:bottom w:val="single" w:sz="4" w:space="0" w:color="auto"/>
              <w:right w:val="single" w:sz="4" w:space="0" w:color="auto"/>
            </w:tcBorders>
          </w:tcPr>
          <w:p w14:paraId="702AA749"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research data pursuant to the conditions set out in Article 10.</w:t>
            </w:r>
          </w:p>
        </w:tc>
        <w:tc>
          <w:tcPr>
            <w:tcW w:w="324" w:type="pct"/>
            <w:tcBorders>
              <w:top w:val="single" w:sz="4" w:space="0" w:color="auto"/>
              <w:left w:val="single" w:sz="4" w:space="0" w:color="auto"/>
              <w:bottom w:val="single" w:sz="4" w:space="0" w:color="auto"/>
              <w:right w:val="single" w:sz="4" w:space="0" w:color="auto"/>
            </w:tcBorders>
          </w:tcPr>
          <w:p w14:paraId="2F60A16B"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25.4.11)</w:t>
            </w:r>
          </w:p>
          <w:p w14:paraId="291D5020"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en-GB" w:eastAsia="en-GB"/>
              </w:rPr>
              <w:t>25.4.12</w:t>
            </w:r>
            <w:r w:rsidRPr="008F0CED">
              <w:rPr>
                <w:rFonts w:ascii="Times New Roman" w:hAnsi="Times New Roman" w:cs="Times New Roman"/>
                <w:sz w:val="20"/>
                <w:szCs w:val="20"/>
                <w:lang w:val="sr-Cyrl-RS" w:eastAsia="en-GB"/>
              </w:rPr>
              <w:t>)</w:t>
            </w:r>
          </w:p>
        </w:tc>
        <w:tc>
          <w:tcPr>
            <w:tcW w:w="1231" w:type="pct"/>
            <w:vMerge/>
            <w:tcBorders>
              <w:left w:val="single" w:sz="4" w:space="0" w:color="auto"/>
              <w:bottom w:val="single" w:sz="4" w:space="0" w:color="auto"/>
              <w:right w:val="single" w:sz="4" w:space="0" w:color="auto"/>
            </w:tcBorders>
          </w:tcPr>
          <w:p w14:paraId="6497B5B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2B22078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vMerge/>
            <w:tcBorders>
              <w:left w:val="single" w:sz="4" w:space="0" w:color="auto"/>
              <w:bottom w:val="single" w:sz="4" w:space="0" w:color="auto"/>
              <w:right w:val="single" w:sz="4" w:space="0" w:color="auto"/>
            </w:tcBorders>
          </w:tcPr>
          <w:p w14:paraId="53871FFB" w14:textId="77777777" w:rsidR="008F0CED" w:rsidRPr="008F0CED" w:rsidRDefault="008F0CED" w:rsidP="008F0CED">
            <w:pPr>
              <w:tabs>
                <w:tab w:val="left" w:pos="2835"/>
              </w:tabs>
              <w:spacing w:before="120" w:after="120" w:line="240" w:lineRule="auto"/>
              <w:ind w:firstLine="21"/>
              <w:jc w:val="both"/>
              <w:rPr>
                <w:rFonts w:ascii="Times New Roman" w:hAnsi="Times New Roman" w:cs="Times New Roman"/>
                <w:sz w:val="20"/>
                <w:szCs w:val="20"/>
                <w:lang w:val="sr-Cyrl-RS" w:eastAsia="en-GB"/>
              </w:rPr>
            </w:pPr>
          </w:p>
        </w:tc>
        <w:tc>
          <w:tcPr>
            <w:tcW w:w="513" w:type="pct"/>
            <w:tcBorders>
              <w:top w:val="single" w:sz="4" w:space="0" w:color="auto"/>
              <w:left w:val="single" w:sz="4" w:space="0" w:color="auto"/>
              <w:bottom w:val="single" w:sz="4" w:space="0" w:color="auto"/>
              <w:right w:val="single" w:sz="4" w:space="0" w:color="auto"/>
            </w:tcBorders>
          </w:tcPr>
          <w:p w14:paraId="01E2AF89"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7074DBF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5E80B192"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4E25C855" w14:textId="77777777" w:rsidR="008F0CED" w:rsidRPr="008F0CED" w:rsidRDefault="008F0CED" w:rsidP="00194F95">
            <w:pPr>
              <w:numPr>
                <w:ilvl w:val="1"/>
                <w:numId w:val="3"/>
              </w:numPr>
              <w:tabs>
                <w:tab w:val="left" w:pos="2835"/>
              </w:tabs>
              <w:spacing w:before="120" w:after="120" w:line="240" w:lineRule="auto"/>
              <w:contextualSpacing/>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a)</w:t>
            </w:r>
          </w:p>
        </w:tc>
        <w:tc>
          <w:tcPr>
            <w:tcW w:w="945" w:type="pct"/>
            <w:tcBorders>
              <w:top w:val="single" w:sz="4" w:space="0" w:color="auto"/>
              <w:left w:val="single" w:sz="4" w:space="0" w:color="auto"/>
              <w:bottom w:val="single" w:sz="4" w:space="0" w:color="auto"/>
              <w:right w:val="single" w:sz="4" w:space="0" w:color="auto"/>
            </w:tcBorders>
          </w:tcPr>
          <w:p w14:paraId="1A83483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This Directive does not apply to:</w:t>
            </w:r>
          </w:p>
          <w:p w14:paraId="3976FA1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(a) documents the supply of which is an activity falling outside the scope of the public task of the public sector bodies concerned as defined by law or by other binding rules in the Member State, or, in the absence of such rules, as defined in accordance with common administrative practice in the Member State in question, provided that the scope of the public tasks is transparent and subject to review;</w:t>
            </w:r>
          </w:p>
        </w:tc>
        <w:tc>
          <w:tcPr>
            <w:tcW w:w="324" w:type="pct"/>
            <w:tcBorders>
              <w:top w:val="single" w:sz="4" w:space="0" w:color="auto"/>
              <w:left w:val="single" w:sz="4" w:space="0" w:color="auto"/>
              <w:bottom w:val="single" w:sz="4" w:space="0" w:color="auto"/>
              <w:right w:val="single" w:sz="4" w:space="0" w:color="auto"/>
            </w:tcBorders>
          </w:tcPr>
          <w:p w14:paraId="24652B75"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25.4.</w:t>
            </w:r>
          </w:p>
        </w:tc>
        <w:tc>
          <w:tcPr>
            <w:tcW w:w="1231" w:type="pct"/>
            <w:vMerge w:val="restart"/>
            <w:tcBorders>
              <w:top w:val="single" w:sz="4" w:space="0" w:color="auto"/>
              <w:left w:val="single" w:sz="4" w:space="0" w:color="auto"/>
              <w:right w:val="single" w:sz="4" w:space="0" w:color="auto"/>
            </w:tcBorders>
          </w:tcPr>
          <w:p w14:paraId="5840FEF2" w14:textId="77777777" w:rsidR="008F0CED" w:rsidRPr="008F0CED" w:rsidRDefault="008F0CED" w:rsidP="008F0CED">
            <w:pPr>
              <w:tabs>
                <w:tab w:val="left" w:pos="2835"/>
              </w:tabs>
              <w:spacing w:after="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П</w:t>
            </w:r>
            <w:proofErr w:type="spellStart"/>
            <w:r w:rsidRPr="008F0CED">
              <w:rPr>
                <w:rFonts w:ascii="Times New Roman" w:hAnsi="Times New Roman" w:cs="Times New Roman"/>
                <w:sz w:val="20"/>
                <w:szCs w:val="20"/>
                <w:lang w:val="en-GB" w:eastAsia="en-GB"/>
              </w:rPr>
              <w:t>оновна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употреба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података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односи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w:t>
            </w:r>
            <w:proofErr w:type="spellEnd"/>
            <w:r w:rsidRPr="008F0CED">
              <w:rPr>
                <w:rFonts w:ascii="Times New Roman" w:hAnsi="Times New Roman" w:cs="Times New Roman"/>
                <w:sz w:val="20"/>
                <w:szCs w:val="20"/>
                <w:lang w:val="en-GB" w:eastAsia="en-GB"/>
              </w:rPr>
              <w:t>:</w:t>
            </w:r>
          </w:p>
          <w:p w14:paraId="508162C7" w14:textId="77777777" w:rsidR="008F0CED" w:rsidRPr="008F0CED" w:rsidRDefault="008F0CED" w:rsidP="008F0CED">
            <w:pPr>
              <w:tabs>
                <w:tab w:val="left" w:pos="2835"/>
              </w:tabs>
              <w:spacing w:after="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1</w:t>
            </w:r>
            <w:r w:rsidRPr="008F0CED">
              <w:rPr>
                <w:rFonts w:ascii="Times New Roman" w:hAnsi="Times New Roman" w:cs="Times New Roman"/>
                <w:sz w:val="20"/>
                <w:szCs w:val="20"/>
                <w:lang w:val="en-GB" w:eastAsia="en-GB"/>
              </w:rPr>
              <w:t xml:space="preserve">) </w:t>
            </w:r>
            <w:r w:rsidRPr="008F0CED">
              <w:rPr>
                <w:rFonts w:ascii="Times New Roman" w:hAnsi="Times New Roman" w:cs="Times New Roman"/>
                <w:sz w:val="20"/>
                <w:szCs w:val="20"/>
                <w:lang w:val="sr-Cyrl-RS" w:eastAsia="en-GB"/>
              </w:rPr>
              <w:t>п</w:t>
            </w:r>
            <w:proofErr w:type="spellStart"/>
            <w:r w:rsidRPr="008F0CED">
              <w:rPr>
                <w:rFonts w:ascii="Times New Roman" w:hAnsi="Times New Roman" w:cs="Times New Roman"/>
                <w:sz w:val="20"/>
                <w:szCs w:val="20"/>
                <w:lang w:val="en-GB" w:eastAsia="en-GB"/>
              </w:rPr>
              <w:t>одатке</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поседу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органа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коме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упућен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захтев</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насталих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изван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делокруга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послова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обавља</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складу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законом</w:t>
            </w:r>
            <w:proofErr w:type="spellEnd"/>
            <w:r w:rsidRPr="008F0CED">
              <w:rPr>
                <w:rFonts w:ascii="Times New Roman" w:hAnsi="Times New Roman" w:cs="Times New Roman"/>
                <w:sz w:val="20"/>
                <w:szCs w:val="20"/>
                <w:lang w:val="en-GB" w:eastAsia="en-GB"/>
              </w:rPr>
              <w:t>;</w:t>
            </w:r>
          </w:p>
          <w:p w14:paraId="0EB75678" w14:textId="77777777" w:rsidR="008F0CED" w:rsidRPr="008F0CED" w:rsidRDefault="008F0CED" w:rsidP="008F0CED">
            <w:pPr>
              <w:tabs>
                <w:tab w:val="left" w:pos="2835"/>
              </w:tabs>
              <w:spacing w:after="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2) п</w:t>
            </w:r>
            <w:proofErr w:type="spellStart"/>
            <w:r w:rsidRPr="008F0CED">
              <w:rPr>
                <w:rFonts w:ascii="Times New Roman" w:hAnsi="Times New Roman" w:cs="Times New Roman"/>
                <w:sz w:val="20"/>
                <w:szCs w:val="20"/>
                <w:lang w:val="en-GB" w:eastAsia="en-GB"/>
              </w:rPr>
              <w:t>одатке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настале</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раду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јавних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предузећа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изван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јавних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овлашћења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односно</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вези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пружањем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комерцијалних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услуга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изл</w:t>
            </w:r>
            <w:proofErr w:type="spellEnd"/>
            <w:r w:rsidRPr="008F0CED">
              <w:rPr>
                <w:rFonts w:ascii="Times New Roman" w:hAnsi="Times New Roman" w:cs="Times New Roman"/>
                <w:sz w:val="20"/>
                <w:szCs w:val="20"/>
                <w:lang w:val="sr-Cyrl-RS" w:eastAsia="en-GB"/>
              </w:rPr>
              <w:t>е</w:t>
            </w:r>
            <w:proofErr w:type="spellStart"/>
            <w:r w:rsidRPr="008F0CED">
              <w:rPr>
                <w:rFonts w:ascii="Times New Roman" w:hAnsi="Times New Roman" w:cs="Times New Roman"/>
                <w:sz w:val="20"/>
                <w:szCs w:val="20"/>
                <w:lang w:val="en-GB" w:eastAsia="en-GB"/>
              </w:rPr>
              <w:t>жене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конкуренцији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тржишту</w:t>
            </w:r>
            <w:proofErr w:type="spellEnd"/>
            <w:r w:rsidRPr="008F0CED">
              <w:rPr>
                <w:rFonts w:ascii="Times New Roman" w:hAnsi="Times New Roman" w:cs="Times New Roman"/>
                <w:sz w:val="20"/>
                <w:szCs w:val="20"/>
                <w:lang w:val="en-GB" w:eastAsia="en-GB"/>
              </w:rPr>
              <w:t>;</w:t>
            </w:r>
          </w:p>
          <w:p w14:paraId="2A7CFBD5" w14:textId="77777777" w:rsidR="008F0CED" w:rsidRPr="008F0CED" w:rsidRDefault="008F0CED" w:rsidP="008F0CED">
            <w:pPr>
              <w:tabs>
                <w:tab w:val="left" w:pos="2835"/>
              </w:tabs>
              <w:spacing w:after="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3) податке на којима постоји искључиво право интелектуалне својине трећег лица;</w:t>
            </w:r>
          </w:p>
          <w:p w14:paraId="17D5E3BD" w14:textId="77777777" w:rsidR="008F0CED" w:rsidRPr="008F0CED" w:rsidRDefault="008F0CED" w:rsidP="008F0CED">
            <w:pPr>
              <w:tabs>
                <w:tab w:val="left" w:pos="2835"/>
              </w:tabs>
              <w:spacing w:after="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4</w:t>
            </w:r>
            <w:r w:rsidRPr="008F0CED">
              <w:rPr>
                <w:rFonts w:ascii="Times New Roman" w:hAnsi="Times New Roman" w:cs="Times New Roman"/>
                <w:sz w:val="20"/>
                <w:szCs w:val="20"/>
                <w:lang w:val="en-GB" w:eastAsia="en-GB"/>
              </w:rPr>
              <w:t xml:space="preserve">) </w:t>
            </w:r>
            <w:r w:rsidRPr="008F0CED">
              <w:rPr>
                <w:rFonts w:ascii="Times New Roman" w:hAnsi="Times New Roman" w:cs="Times New Roman"/>
                <w:sz w:val="20"/>
                <w:szCs w:val="20"/>
                <w:lang w:val="sr-Cyrl-RS" w:eastAsia="en-GB"/>
              </w:rPr>
              <w:t>п</w:t>
            </w:r>
            <w:proofErr w:type="spellStart"/>
            <w:r w:rsidRPr="008F0CED">
              <w:rPr>
                <w:rFonts w:ascii="Times New Roman" w:hAnsi="Times New Roman" w:cs="Times New Roman"/>
                <w:sz w:val="20"/>
                <w:szCs w:val="20"/>
                <w:lang w:val="en-GB" w:eastAsia="en-GB"/>
              </w:rPr>
              <w:t>одатке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којима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приступ</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ограничен</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складу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прописима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односе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националну</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јавну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безбедност</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одбрану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статистичку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поверљивост</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пословну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тајну</w:t>
            </w:r>
            <w:proofErr w:type="spellEnd"/>
            <w:r w:rsidRPr="008F0CED">
              <w:rPr>
                <w:rFonts w:ascii="Times New Roman" w:hAnsi="Times New Roman" w:cs="Times New Roman"/>
                <w:sz w:val="20"/>
                <w:szCs w:val="20"/>
                <w:lang w:val="en-GB" w:eastAsia="en-GB"/>
              </w:rPr>
              <w:t>;</w:t>
            </w:r>
          </w:p>
          <w:p w14:paraId="038E7679" w14:textId="77777777" w:rsidR="008F0CED" w:rsidRPr="008F0CED" w:rsidRDefault="008F0CED" w:rsidP="008F0CED">
            <w:pPr>
              <w:tabs>
                <w:tab w:val="left" w:pos="2835"/>
              </w:tabs>
              <w:spacing w:after="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5</w:t>
            </w:r>
            <w:r w:rsidRPr="008F0CED">
              <w:rPr>
                <w:rFonts w:ascii="Times New Roman" w:hAnsi="Times New Roman" w:cs="Times New Roman"/>
                <w:sz w:val="20"/>
                <w:szCs w:val="20"/>
                <w:lang w:val="en-GB" w:eastAsia="en-GB"/>
              </w:rPr>
              <w:t xml:space="preserve">) </w:t>
            </w:r>
            <w:r w:rsidRPr="008F0CED">
              <w:rPr>
                <w:rFonts w:ascii="Times New Roman" w:hAnsi="Times New Roman" w:cs="Times New Roman"/>
                <w:sz w:val="20"/>
                <w:szCs w:val="20"/>
                <w:lang w:val="sr-Cyrl-RS" w:eastAsia="en-GB"/>
              </w:rPr>
              <w:t>п</w:t>
            </w:r>
            <w:proofErr w:type="spellStart"/>
            <w:r w:rsidRPr="008F0CED">
              <w:rPr>
                <w:rFonts w:ascii="Times New Roman" w:hAnsi="Times New Roman" w:cs="Times New Roman"/>
                <w:sz w:val="20"/>
                <w:szCs w:val="20"/>
                <w:lang w:val="en-GB" w:eastAsia="en-GB"/>
              </w:rPr>
              <w:t>одатке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којима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приступ</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ограничен</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складу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прописима</w:t>
            </w:r>
            <w:proofErr w:type="spellEnd"/>
            <w:r w:rsidRPr="008F0CED">
              <w:rPr>
                <w:rFonts w:ascii="Times New Roman" w:hAnsi="Times New Roman" w:cs="Times New Roman"/>
                <w:sz w:val="20"/>
                <w:szCs w:val="20"/>
                <w:lang w:val="en-GB" w:eastAsia="en-GB"/>
              </w:rPr>
              <w:t xml:space="preserve"> о </w:t>
            </w:r>
            <w:proofErr w:type="spellStart"/>
            <w:r w:rsidRPr="008F0CED">
              <w:rPr>
                <w:rFonts w:ascii="Times New Roman" w:hAnsi="Times New Roman" w:cs="Times New Roman"/>
                <w:sz w:val="20"/>
                <w:szCs w:val="20"/>
                <w:lang w:val="en-GB" w:eastAsia="en-GB"/>
              </w:rPr>
              <w:t>критичној</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инфраструктури</w:t>
            </w:r>
            <w:proofErr w:type="spellEnd"/>
            <w:r w:rsidRPr="008F0CED">
              <w:rPr>
                <w:rFonts w:ascii="Times New Roman" w:hAnsi="Times New Roman" w:cs="Times New Roman"/>
                <w:sz w:val="20"/>
                <w:szCs w:val="20"/>
                <w:lang w:val="en-GB" w:eastAsia="en-GB"/>
              </w:rPr>
              <w:t>;</w:t>
            </w:r>
          </w:p>
          <w:p w14:paraId="0B63A4E6" w14:textId="77777777" w:rsidR="008F0CED" w:rsidRPr="008F0CED" w:rsidRDefault="008F0CED" w:rsidP="008F0CED">
            <w:pPr>
              <w:tabs>
                <w:tab w:val="left" w:pos="2835"/>
              </w:tabs>
              <w:spacing w:after="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6</w:t>
            </w:r>
            <w:r w:rsidRPr="008F0CED">
              <w:rPr>
                <w:rFonts w:ascii="Times New Roman" w:hAnsi="Times New Roman" w:cs="Times New Roman"/>
                <w:sz w:val="20"/>
                <w:szCs w:val="20"/>
                <w:lang w:val="en-GB" w:eastAsia="en-GB"/>
              </w:rPr>
              <w:t xml:space="preserve">) </w:t>
            </w:r>
            <w:r w:rsidRPr="008F0CED">
              <w:rPr>
                <w:rFonts w:ascii="Times New Roman" w:hAnsi="Times New Roman" w:cs="Times New Roman"/>
                <w:sz w:val="20"/>
                <w:szCs w:val="20"/>
                <w:lang w:val="sr-Cyrl-RS" w:eastAsia="en-GB"/>
              </w:rPr>
              <w:t>п</w:t>
            </w:r>
            <w:proofErr w:type="spellStart"/>
            <w:r w:rsidRPr="008F0CED">
              <w:rPr>
                <w:rFonts w:ascii="Times New Roman" w:hAnsi="Times New Roman" w:cs="Times New Roman"/>
                <w:sz w:val="20"/>
                <w:szCs w:val="20"/>
                <w:lang w:val="en-GB" w:eastAsia="en-GB"/>
              </w:rPr>
              <w:t>одатке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за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чији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приступ</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прописано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доказивање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постојања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правног</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интереса</w:t>
            </w:r>
            <w:proofErr w:type="spellEnd"/>
            <w:r w:rsidRPr="008F0CED">
              <w:rPr>
                <w:rFonts w:ascii="Times New Roman" w:hAnsi="Times New Roman" w:cs="Times New Roman"/>
                <w:sz w:val="20"/>
                <w:szCs w:val="20"/>
                <w:lang w:val="en-GB" w:eastAsia="en-GB"/>
              </w:rPr>
              <w:t>;</w:t>
            </w:r>
          </w:p>
          <w:p w14:paraId="08B9D417" w14:textId="77777777" w:rsidR="008F0CED" w:rsidRPr="008F0CED" w:rsidRDefault="008F0CED" w:rsidP="008F0CED">
            <w:pPr>
              <w:tabs>
                <w:tab w:val="left" w:pos="2835"/>
              </w:tabs>
              <w:spacing w:after="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7</w:t>
            </w:r>
            <w:r w:rsidRPr="008F0CED">
              <w:rPr>
                <w:rFonts w:ascii="Times New Roman" w:hAnsi="Times New Roman" w:cs="Times New Roman"/>
                <w:sz w:val="20"/>
                <w:szCs w:val="20"/>
                <w:lang w:val="en-GB" w:eastAsia="en-GB"/>
              </w:rPr>
              <w:t xml:space="preserve">) </w:t>
            </w:r>
            <w:r w:rsidRPr="008F0CED">
              <w:rPr>
                <w:rFonts w:ascii="Times New Roman" w:hAnsi="Times New Roman" w:cs="Times New Roman"/>
                <w:sz w:val="20"/>
                <w:szCs w:val="20"/>
                <w:lang w:val="sr-Cyrl-RS" w:eastAsia="en-GB"/>
              </w:rPr>
              <w:t xml:space="preserve"> л</w:t>
            </w:r>
            <w:proofErr w:type="spellStart"/>
            <w:r w:rsidRPr="008F0CED">
              <w:rPr>
                <w:rFonts w:ascii="Times New Roman" w:hAnsi="Times New Roman" w:cs="Times New Roman"/>
                <w:sz w:val="20"/>
                <w:szCs w:val="20"/>
                <w:lang w:val="en-GB" w:eastAsia="en-GB"/>
              </w:rPr>
              <w:t>оготипе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грбове</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ознаке</w:t>
            </w:r>
            <w:proofErr w:type="spellEnd"/>
            <w:r w:rsidRPr="008F0CED">
              <w:rPr>
                <w:rFonts w:ascii="Times New Roman" w:hAnsi="Times New Roman" w:cs="Times New Roman"/>
                <w:sz w:val="20"/>
                <w:szCs w:val="20"/>
                <w:lang w:val="en-GB" w:eastAsia="en-GB"/>
              </w:rPr>
              <w:t>;</w:t>
            </w:r>
          </w:p>
          <w:p w14:paraId="5C0A233C" w14:textId="77777777" w:rsidR="008F0CED" w:rsidRPr="008F0CED" w:rsidRDefault="008F0CED" w:rsidP="008F0CED">
            <w:pPr>
              <w:tabs>
                <w:tab w:val="left" w:pos="2835"/>
              </w:tabs>
              <w:spacing w:after="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8</w:t>
            </w:r>
            <w:r w:rsidRPr="008F0CED">
              <w:rPr>
                <w:rFonts w:ascii="Times New Roman" w:hAnsi="Times New Roman" w:cs="Times New Roman"/>
                <w:sz w:val="20"/>
                <w:szCs w:val="20"/>
                <w:lang w:val="en-GB" w:eastAsia="en-GB"/>
              </w:rPr>
              <w:t xml:space="preserve">) </w:t>
            </w:r>
            <w:r w:rsidRPr="008F0CED">
              <w:rPr>
                <w:rFonts w:ascii="Times New Roman" w:hAnsi="Times New Roman" w:cs="Times New Roman"/>
                <w:sz w:val="20"/>
                <w:szCs w:val="20"/>
                <w:lang w:val="sr-Cyrl-RS" w:eastAsia="en-GB"/>
              </w:rPr>
              <w:t>п</w:t>
            </w:r>
            <w:proofErr w:type="spellStart"/>
            <w:r w:rsidRPr="008F0CED">
              <w:rPr>
                <w:rFonts w:ascii="Times New Roman" w:hAnsi="Times New Roman" w:cs="Times New Roman"/>
                <w:sz w:val="20"/>
                <w:szCs w:val="20"/>
                <w:lang w:val="en-GB" w:eastAsia="en-GB"/>
              </w:rPr>
              <w:t>одатке</w:t>
            </w:r>
            <w:proofErr w:type="spellEnd"/>
            <w:r w:rsidRPr="008F0CED">
              <w:rPr>
                <w:rFonts w:ascii="Times New Roman" w:hAnsi="Times New Roman" w:cs="Times New Roman"/>
                <w:sz w:val="20"/>
                <w:szCs w:val="20"/>
                <w:lang w:val="en-GB" w:eastAsia="en-GB"/>
              </w:rPr>
              <w:t xml:space="preserve"> о </w:t>
            </w:r>
            <w:proofErr w:type="spellStart"/>
            <w:r w:rsidRPr="008F0CED">
              <w:rPr>
                <w:rFonts w:ascii="Times New Roman" w:hAnsi="Times New Roman" w:cs="Times New Roman"/>
                <w:sz w:val="20"/>
                <w:szCs w:val="20"/>
                <w:lang w:val="en-GB" w:eastAsia="en-GB"/>
              </w:rPr>
              <w:t>личности</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складу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прописима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којима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уређује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заштита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података</w:t>
            </w:r>
            <w:proofErr w:type="spellEnd"/>
            <w:r w:rsidRPr="008F0CED">
              <w:rPr>
                <w:rFonts w:ascii="Times New Roman" w:hAnsi="Times New Roman" w:cs="Times New Roman"/>
                <w:sz w:val="20"/>
                <w:szCs w:val="20"/>
                <w:lang w:val="en-GB" w:eastAsia="en-GB"/>
              </w:rPr>
              <w:t xml:space="preserve"> о </w:t>
            </w:r>
            <w:proofErr w:type="spellStart"/>
            <w:r w:rsidRPr="008F0CED">
              <w:rPr>
                <w:rFonts w:ascii="Times New Roman" w:hAnsi="Times New Roman" w:cs="Times New Roman"/>
                <w:sz w:val="20"/>
                <w:szCs w:val="20"/>
                <w:lang w:val="en-GB" w:eastAsia="en-GB"/>
              </w:rPr>
              <w:t>личности</w:t>
            </w:r>
            <w:proofErr w:type="spellEnd"/>
            <w:r w:rsidRPr="008F0CED">
              <w:rPr>
                <w:rFonts w:ascii="Times New Roman" w:hAnsi="Times New Roman" w:cs="Times New Roman"/>
                <w:sz w:val="20"/>
                <w:szCs w:val="20"/>
                <w:lang w:val="en-GB" w:eastAsia="en-GB"/>
              </w:rPr>
              <w:t>;</w:t>
            </w:r>
          </w:p>
          <w:p w14:paraId="0BF6AD6F" w14:textId="77777777" w:rsidR="008F0CED" w:rsidRPr="008F0CED" w:rsidRDefault="008F0CED" w:rsidP="008F0CED">
            <w:pPr>
              <w:tabs>
                <w:tab w:val="left" w:pos="2835"/>
              </w:tabs>
              <w:spacing w:after="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9</w:t>
            </w:r>
            <w:r w:rsidRPr="008F0CED">
              <w:rPr>
                <w:rFonts w:ascii="Times New Roman" w:hAnsi="Times New Roman" w:cs="Times New Roman"/>
                <w:sz w:val="20"/>
                <w:szCs w:val="20"/>
                <w:lang w:val="en-GB" w:eastAsia="en-GB"/>
              </w:rPr>
              <w:t xml:space="preserve">) </w:t>
            </w:r>
            <w:r w:rsidRPr="008F0CED">
              <w:rPr>
                <w:rFonts w:ascii="Times New Roman" w:hAnsi="Times New Roman" w:cs="Times New Roman"/>
                <w:sz w:val="20"/>
                <w:szCs w:val="20"/>
                <w:lang w:val="sr-Cyrl-RS" w:eastAsia="en-GB"/>
              </w:rPr>
              <w:t>п</w:t>
            </w:r>
            <w:proofErr w:type="spellStart"/>
            <w:r w:rsidRPr="008F0CED">
              <w:rPr>
                <w:rFonts w:ascii="Times New Roman" w:hAnsi="Times New Roman" w:cs="Times New Roman"/>
                <w:sz w:val="20"/>
                <w:szCs w:val="20"/>
                <w:lang w:val="en-GB" w:eastAsia="en-GB"/>
              </w:rPr>
              <w:t>одатке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органа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пружају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услуге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јавних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медијских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сервиса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или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обављају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радиодифузну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делатност</w:t>
            </w:r>
            <w:proofErr w:type="spellEnd"/>
            <w:r w:rsidRPr="008F0CED">
              <w:rPr>
                <w:rFonts w:ascii="Times New Roman" w:hAnsi="Times New Roman" w:cs="Times New Roman"/>
                <w:sz w:val="20"/>
                <w:szCs w:val="20"/>
                <w:lang w:val="en-GB" w:eastAsia="en-GB"/>
              </w:rPr>
              <w:t xml:space="preserve">, а </w:t>
            </w:r>
            <w:proofErr w:type="spellStart"/>
            <w:r w:rsidRPr="008F0CED">
              <w:rPr>
                <w:rFonts w:ascii="Times New Roman" w:hAnsi="Times New Roman" w:cs="Times New Roman"/>
                <w:sz w:val="20"/>
                <w:szCs w:val="20"/>
                <w:lang w:val="en-GB" w:eastAsia="en-GB"/>
              </w:rPr>
              <w:t>који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односе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медијске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услуге</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складу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законом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уређује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делатност</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јавних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медијских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сервиса</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електронских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медија</w:t>
            </w:r>
            <w:proofErr w:type="spellEnd"/>
            <w:r w:rsidRPr="008F0CED">
              <w:rPr>
                <w:rFonts w:ascii="Times New Roman" w:hAnsi="Times New Roman" w:cs="Times New Roman"/>
                <w:sz w:val="20"/>
                <w:szCs w:val="20"/>
                <w:lang w:val="en-GB" w:eastAsia="en-GB"/>
              </w:rPr>
              <w:t>;</w:t>
            </w:r>
          </w:p>
          <w:p w14:paraId="11683FBD" w14:textId="77777777" w:rsidR="008F0CED" w:rsidRPr="008F0CED" w:rsidRDefault="008F0CED" w:rsidP="008F0CED">
            <w:pPr>
              <w:tabs>
                <w:tab w:val="left" w:pos="2835"/>
              </w:tabs>
              <w:spacing w:after="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10</w:t>
            </w:r>
            <w:r w:rsidRPr="008F0CED">
              <w:rPr>
                <w:rFonts w:ascii="Times New Roman" w:hAnsi="Times New Roman" w:cs="Times New Roman"/>
                <w:sz w:val="20"/>
                <w:szCs w:val="20"/>
                <w:lang w:val="en-GB" w:eastAsia="en-GB"/>
              </w:rPr>
              <w:t xml:space="preserve">) </w:t>
            </w:r>
            <w:r w:rsidRPr="008F0CED">
              <w:rPr>
                <w:rFonts w:ascii="Times New Roman" w:hAnsi="Times New Roman" w:cs="Times New Roman"/>
                <w:sz w:val="20"/>
                <w:szCs w:val="20"/>
                <w:lang w:val="sr-Cyrl-RS" w:eastAsia="en-GB"/>
              </w:rPr>
              <w:t>п</w:t>
            </w:r>
            <w:proofErr w:type="spellStart"/>
            <w:r w:rsidRPr="008F0CED">
              <w:rPr>
                <w:rFonts w:ascii="Times New Roman" w:hAnsi="Times New Roman" w:cs="Times New Roman"/>
                <w:sz w:val="20"/>
                <w:szCs w:val="20"/>
                <w:lang w:val="en-GB" w:eastAsia="en-GB"/>
              </w:rPr>
              <w:t>одатке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установа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културе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осим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библиотека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укључујући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библиотеке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установа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високог</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образовања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музеја</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архива</w:t>
            </w:r>
            <w:proofErr w:type="spellEnd"/>
            <w:r w:rsidRPr="008F0CED">
              <w:rPr>
                <w:rFonts w:ascii="Times New Roman" w:hAnsi="Times New Roman" w:cs="Times New Roman"/>
                <w:sz w:val="20"/>
                <w:szCs w:val="20"/>
                <w:lang w:val="en-GB" w:eastAsia="en-GB"/>
              </w:rPr>
              <w:t>;</w:t>
            </w:r>
          </w:p>
          <w:p w14:paraId="6761E2EA" w14:textId="77777777" w:rsidR="008F0CED" w:rsidRPr="008F0CED" w:rsidRDefault="008F0CED" w:rsidP="008F0CED">
            <w:pPr>
              <w:tabs>
                <w:tab w:val="left" w:pos="2835"/>
              </w:tabs>
              <w:spacing w:after="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11</w:t>
            </w:r>
            <w:r w:rsidRPr="008F0CED">
              <w:rPr>
                <w:rFonts w:ascii="Times New Roman" w:hAnsi="Times New Roman" w:cs="Times New Roman"/>
                <w:sz w:val="20"/>
                <w:szCs w:val="20"/>
                <w:lang w:val="en-GB" w:eastAsia="en-GB"/>
              </w:rPr>
              <w:t xml:space="preserve">) </w:t>
            </w:r>
            <w:r w:rsidRPr="008F0CED">
              <w:rPr>
                <w:rFonts w:ascii="Times New Roman" w:hAnsi="Times New Roman" w:cs="Times New Roman"/>
                <w:sz w:val="20"/>
                <w:szCs w:val="20"/>
                <w:lang w:val="sr-Cyrl-RS" w:eastAsia="en-GB"/>
              </w:rPr>
              <w:t>п</w:t>
            </w:r>
            <w:proofErr w:type="spellStart"/>
            <w:r w:rsidRPr="008F0CED">
              <w:rPr>
                <w:rFonts w:ascii="Times New Roman" w:hAnsi="Times New Roman" w:cs="Times New Roman"/>
                <w:sz w:val="20"/>
                <w:szCs w:val="20"/>
                <w:lang w:val="en-GB" w:eastAsia="en-GB"/>
              </w:rPr>
              <w:t>одатке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образовних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установа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осим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истраживачких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података</w:t>
            </w:r>
            <w:proofErr w:type="spellEnd"/>
            <w:r w:rsidRPr="008F0CED">
              <w:rPr>
                <w:rFonts w:ascii="Times New Roman" w:hAnsi="Times New Roman" w:cs="Times New Roman"/>
                <w:sz w:val="20"/>
                <w:szCs w:val="20"/>
                <w:lang w:val="en-GB" w:eastAsia="en-GB"/>
              </w:rPr>
              <w:t>;</w:t>
            </w:r>
          </w:p>
          <w:p w14:paraId="314B201F" w14:textId="77777777" w:rsidR="008F0CED" w:rsidRPr="008F0CED" w:rsidRDefault="008F0CED" w:rsidP="008F0CED">
            <w:pPr>
              <w:tabs>
                <w:tab w:val="left" w:pos="1276"/>
              </w:tabs>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12</w:t>
            </w:r>
            <w:r w:rsidRPr="008F0CED">
              <w:rPr>
                <w:rFonts w:ascii="Times New Roman" w:hAnsi="Times New Roman" w:cs="Times New Roman"/>
                <w:sz w:val="20"/>
                <w:szCs w:val="20"/>
                <w:lang w:val="en-GB" w:eastAsia="en-GB"/>
              </w:rPr>
              <w:t xml:space="preserve">) </w:t>
            </w:r>
            <w:r w:rsidRPr="008F0CED">
              <w:rPr>
                <w:rFonts w:ascii="Times New Roman" w:hAnsi="Times New Roman" w:cs="Times New Roman"/>
                <w:sz w:val="20"/>
                <w:szCs w:val="20"/>
                <w:lang w:val="sr-Cyrl-RS" w:eastAsia="en-GB"/>
              </w:rPr>
              <w:t>п</w:t>
            </w:r>
            <w:proofErr w:type="spellStart"/>
            <w:r w:rsidRPr="008F0CED">
              <w:rPr>
                <w:rFonts w:ascii="Times New Roman" w:hAnsi="Times New Roman" w:cs="Times New Roman"/>
                <w:sz w:val="20"/>
                <w:szCs w:val="20"/>
                <w:lang w:val="en-GB" w:eastAsia="en-GB"/>
              </w:rPr>
              <w:t>одатке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научноистраживачких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установа</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организација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финансирају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истраживања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укључујући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организације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основане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ради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преноса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резултата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истраживања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осим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истраживачких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података</w:t>
            </w:r>
            <w:proofErr w:type="spellEnd"/>
            <w:r w:rsidRPr="008F0CED">
              <w:rPr>
                <w:rFonts w:ascii="Times New Roman" w:hAnsi="Times New Roman" w:cs="Times New Roman"/>
                <w:sz w:val="20"/>
                <w:szCs w:val="20"/>
                <w:lang w:val="en-GB" w:eastAsia="en-GB"/>
              </w:rPr>
              <w:t>.</w:t>
            </w:r>
          </w:p>
          <w:p w14:paraId="2A1C1B6E" w14:textId="77777777" w:rsidR="008F0CED" w:rsidRPr="008F0CED" w:rsidRDefault="008F0CED" w:rsidP="008F0CED">
            <w:pPr>
              <w:tabs>
                <w:tab w:val="left" w:pos="2835"/>
              </w:tabs>
              <w:spacing w:after="0" w:line="240" w:lineRule="auto"/>
              <w:jc w:val="both"/>
              <w:rPr>
                <w:rFonts w:ascii="Times New Roman" w:hAnsi="Times New Roman" w:cs="Times New Roman"/>
                <w:sz w:val="20"/>
                <w:szCs w:val="20"/>
                <w:lang w:val="en-GB" w:eastAsia="en-GB"/>
              </w:rPr>
            </w:pPr>
          </w:p>
        </w:tc>
        <w:tc>
          <w:tcPr>
            <w:tcW w:w="442" w:type="pct"/>
            <w:vMerge w:val="restart"/>
            <w:tcBorders>
              <w:top w:val="single" w:sz="4" w:space="0" w:color="auto"/>
              <w:left w:val="single" w:sz="4" w:space="0" w:color="auto"/>
              <w:right w:val="single" w:sz="4" w:space="0" w:color="auto"/>
            </w:tcBorders>
          </w:tcPr>
          <w:p w14:paraId="1355207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43CAE5A5"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roofErr w:type="spellStart"/>
            <w:r w:rsidRPr="008F0CED">
              <w:rPr>
                <w:rFonts w:ascii="Times New Roman" w:hAnsi="Times New Roman" w:cs="Times New Roman"/>
                <w:sz w:val="20"/>
                <w:szCs w:val="20"/>
                <w:lang w:val="en-GB" w:eastAsia="en-GB"/>
              </w:rPr>
              <w:t>Свако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има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право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поновну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употребу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података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НАСТАЛИХ</w:t>
            </w:r>
            <w:proofErr w:type="spellEnd"/>
            <w:r w:rsidRPr="008F0CED">
              <w:rPr>
                <w:rFonts w:ascii="Times New Roman" w:hAnsi="Times New Roman" w:cs="Times New Roman"/>
                <w:sz w:val="20"/>
                <w:szCs w:val="20"/>
                <w:lang w:val="en-GB" w:eastAsia="en-GB"/>
              </w:rPr>
              <w:t xml:space="preserve"> У РАДУ </w:t>
            </w:r>
            <w:proofErr w:type="spellStart"/>
            <w:r w:rsidRPr="008F0CED">
              <w:rPr>
                <w:rFonts w:ascii="Times New Roman" w:hAnsi="Times New Roman" w:cs="Times New Roman"/>
                <w:sz w:val="20"/>
                <w:szCs w:val="20"/>
                <w:lang w:val="en-GB" w:eastAsia="en-GB"/>
              </w:rPr>
              <w:t>ОРГАНА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ПРИЛИКОМ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ВРШЕЊА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ЈАВНИХ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ОВЛАШЋЕЊА</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комерцијалне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или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некомерцијалне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сврхе</w:t>
            </w:r>
            <w:proofErr w:type="spellEnd"/>
            <w:r w:rsidRPr="008F0CED">
              <w:rPr>
                <w:rFonts w:ascii="Times New Roman" w:hAnsi="Times New Roman" w:cs="Times New Roman"/>
                <w:sz w:val="20"/>
                <w:szCs w:val="20"/>
                <w:lang w:val="en-GB" w:eastAsia="en-GB"/>
              </w:rPr>
              <w:t>.</w:t>
            </w:r>
          </w:p>
          <w:p w14:paraId="59D8CD2C" w14:textId="77777777" w:rsidR="008F0CED" w:rsidRPr="008F0CED" w:rsidRDefault="008F0CED" w:rsidP="008F0CED">
            <w:pPr>
              <w:spacing w:after="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ПРАВО НА ПОНОВНУ УПОТРЕБУ ПОДАТАКА ОСТВАРУЈЕ СЕ ПОДНОШЕЊЕМ ЗАХТЕВА ЗА ПОНОВНУ УПОТРЕБУ ПОДАТАКА ОРГАНУ КОЈИ ПОСЕДУЈЕ ПОДАТКЕ, ОДНОСНО ПРИСТУПАЊЕМ ПОДАЦИМА У СКЛАДУ СА ЧЛ. 27. И 27A ОВОГ ЗАКОНА.</w:t>
            </w:r>
          </w:p>
          <w:p w14:paraId="6D43EFD7" w14:textId="77777777" w:rsidR="008F0CED" w:rsidRPr="008F0CED" w:rsidRDefault="008F0CED" w:rsidP="008F0CED">
            <w:pPr>
              <w:spacing w:after="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ЗАХТЕВ САДРЖИ НАЗИВ ОРГАНА КОЈИ ПОСЕДУЈЕ ПОДАТКЕ, ИМЕ И ПРЕЗИМЕ ОДНОСНО ПОСЛОВНО ИМЕ ИЛИ НАЗИВ ПОДНОСИОЦА, АДРЕСУ, СВРХУ, ОПИС ПОДАТАКА ЗА КОЈЕ СЕ ТРАЖИ ПОНОВНА УПОТРЕБА, КАО И ОБЛИК И НАЧИН ПРЕУЗИМАЊА ПОДАТАКА.</w:t>
            </w:r>
          </w:p>
          <w:p w14:paraId="625509A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73606A4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54DA872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78557C03"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0A292148" w14:textId="77777777" w:rsidR="008F0CED" w:rsidRPr="008F0CED" w:rsidRDefault="008F0CED" w:rsidP="00194F95">
            <w:pPr>
              <w:numPr>
                <w:ilvl w:val="1"/>
                <w:numId w:val="2"/>
              </w:numPr>
              <w:tabs>
                <w:tab w:val="left" w:pos="2835"/>
              </w:tabs>
              <w:spacing w:before="120" w:after="120" w:line="240" w:lineRule="auto"/>
              <w:contextualSpacing/>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 b)</w:t>
            </w:r>
          </w:p>
        </w:tc>
        <w:tc>
          <w:tcPr>
            <w:tcW w:w="945" w:type="pct"/>
            <w:tcBorders>
              <w:top w:val="single" w:sz="4" w:space="0" w:color="auto"/>
              <w:left w:val="single" w:sz="4" w:space="0" w:color="auto"/>
              <w:bottom w:val="single" w:sz="4" w:space="0" w:color="auto"/>
              <w:right w:val="single" w:sz="4" w:space="0" w:color="auto"/>
            </w:tcBorders>
          </w:tcPr>
          <w:p w14:paraId="66EE889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(b) documents held by public undertakings:</w:t>
            </w:r>
          </w:p>
          <w:p w14:paraId="67FA1277"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(i) produced outside the scope of the provision of services in the general interest as defined by law or other binding rules in the Member State;</w:t>
            </w:r>
          </w:p>
          <w:p w14:paraId="7FA35FBB"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(ii) related to activities directly exposed to competition and therefore, pursuant to Article 34 of Directive 2014/25/EU, not subject to procurement rules;</w:t>
            </w:r>
          </w:p>
        </w:tc>
        <w:tc>
          <w:tcPr>
            <w:tcW w:w="324" w:type="pct"/>
            <w:tcBorders>
              <w:top w:val="single" w:sz="4" w:space="0" w:color="auto"/>
              <w:left w:val="single" w:sz="4" w:space="0" w:color="auto"/>
              <w:bottom w:val="single" w:sz="4" w:space="0" w:color="auto"/>
              <w:right w:val="single" w:sz="4" w:space="0" w:color="auto"/>
            </w:tcBorders>
          </w:tcPr>
          <w:p w14:paraId="399C767B"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25.</w:t>
            </w:r>
            <w:r w:rsidRPr="008F0CED">
              <w:rPr>
                <w:rFonts w:ascii="Times New Roman" w:hAnsi="Times New Roman" w:cs="Times New Roman"/>
                <w:sz w:val="20"/>
                <w:szCs w:val="20"/>
                <w:lang w:val="sr-Cyrl-RS" w:eastAsia="en-GB"/>
              </w:rPr>
              <w:t>4</w:t>
            </w:r>
            <w:r w:rsidRPr="008F0CED">
              <w:rPr>
                <w:rFonts w:ascii="Times New Roman" w:hAnsi="Times New Roman" w:cs="Times New Roman"/>
                <w:sz w:val="20"/>
                <w:szCs w:val="20"/>
                <w:lang w:val="en-GB" w:eastAsia="en-GB"/>
              </w:rPr>
              <w:t>. 2)</w:t>
            </w:r>
          </w:p>
        </w:tc>
        <w:tc>
          <w:tcPr>
            <w:tcW w:w="1231" w:type="pct"/>
            <w:vMerge/>
            <w:tcBorders>
              <w:left w:val="single" w:sz="4" w:space="0" w:color="auto"/>
              <w:right w:val="single" w:sz="4" w:space="0" w:color="auto"/>
            </w:tcBorders>
          </w:tcPr>
          <w:p w14:paraId="427A15B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vMerge/>
            <w:tcBorders>
              <w:left w:val="single" w:sz="4" w:space="0" w:color="auto"/>
              <w:right w:val="single" w:sz="4" w:space="0" w:color="auto"/>
            </w:tcBorders>
          </w:tcPr>
          <w:p w14:paraId="60A0D15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99" w:type="pct"/>
            <w:gridSpan w:val="2"/>
            <w:tcBorders>
              <w:top w:val="single" w:sz="4" w:space="0" w:color="auto"/>
              <w:left w:val="single" w:sz="4" w:space="0" w:color="auto"/>
              <w:bottom w:val="single" w:sz="4" w:space="0" w:color="auto"/>
              <w:right w:val="single" w:sz="4" w:space="0" w:color="auto"/>
            </w:tcBorders>
          </w:tcPr>
          <w:p w14:paraId="148B1294" w14:textId="77777777" w:rsidR="008F0CED" w:rsidRPr="008F0CED" w:rsidRDefault="008F0CED" w:rsidP="008F0CED">
            <w:pPr>
              <w:tabs>
                <w:tab w:val="left" w:pos="2835"/>
              </w:tabs>
              <w:spacing w:before="120" w:after="120" w:line="240" w:lineRule="auto"/>
              <w:ind w:firstLine="21"/>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36547EC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6291397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44D40FB7"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028388BD" w14:textId="77777777" w:rsidR="008F0CED" w:rsidRPr="008F0CED" w:rsidRDefault="008F0CED" w:rsidP="00194F95">
            <w:pPr>
              <w:numPr>
                <w:ilvl w:val="1"/>
                <w:numId w:val="11"/>
              </w:numPr>
              <w:tabs>
                <w:tab w:val="left" w:pos="2835"/>
              </w:tabs>
              <w:spacing w:before="120" w:after="120" w:line="240" w:lineRule="auto"/>
              <w:contextualSpacing/>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 c)</w:t>
            </w:r>
          </w:p>
        </w:tc>
        <w:tc>
          <w:tcPr>
            <w:tcW w:w="945" w:type="pct"/>
            <w:tcBorders>
              <w:top w:val="single" w:sz="4" w:space="0" w:color="auto"/>
              <w:left w:val="single" w:sz="4" w:space="0" w:color="auto"/>
              <w:bottom w:val="single" w:sz="4" w:space="0" w:color="auto"/>
              <w:right w:val="single" w:sz="4" w:space="0" w:color="auto"/>
            </w:tcBorders>
          </w:tcPr>
          <w:p w14:paraId="0B2161B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(c) documents for which third parties hold intellectual property rights;</w:t>
            </w:r>
          </w:p>
        </w:tc>
        <w:tc>
          <w:tcPr>
            <w:tcW w:w="324" w:type="pct"/>
            <w:tcBorders>
              <w:top w:val="single" w:sz="4" w:space="0" w:color="auto"/>
              <w:left w:val="single" w:sz="4" w:space="0" w:color="auto"/>
              <w:bottom w:val="single" w:sz="4" w:space="0" w:color="auto"/>
              <w:right w:val="single" w:sz="4" w:space="0" w:color="auto"/>
            </w:tcBorders>
          </w:tcPr>
          <w:p w14:paraId="1AADDBDC"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25.</w:t>
            </w:r>
            <w:r w:rsidRPr="008F0CED">
              <w:rPr>
                <w:rFonts w:ascii="Times New Roman" w:hAnsi="Times New Roman" w:cs="Times New Roman"/>
                <w:sz w:val="20"/>
                <w:szCs w:val="20"/>
                <w:lang w:val="sr-Cyrl-RS" w:eastAsia="en-GB"/>
              </w:rPr>
              <w:t>4</w:t>
            </w:r>
            <w:r w:rsidRPr="008F0CED">
              <w:rPr>
                <w:rFonts w:ascii="Times New Roman" w:hAnsi="Times New Roman" w:cs="Times New Roman"/>
                <w:sz w:val="20"/>
                <w:szCs w:val="20"/>
                <w:lang w:val="en-GB" w:eastAsia="en-GB"/>
              </w:rPr>
              <w:t>. 3)</w:t>
            </w:r>
          </w:p>
        </w:tc>
        <w:tc>
          <w:tcPr>
            <w:tcW w:w="1231" w:type="pct"/>
            <w:vMerge/>
            <w:tcBorders>
              <w:left w:val="single" w:sz="4" w:space="0" w:color="auto"/>
              <w:right w:val="single" w:sz="4" w:space="0" w:color="auto"/>
            </w:tcBorders>
          </w:tcPr>
          <w:p w14:paraId="1AD84A8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vMerge/>
            <w:tcBorders>
              <w:left w:val="single" w:sz="4" w:space="0" w:color="auto"/>
              <w:right w:val="single" w:sz="4" w:space="0" w:color="auto"/>
            </w:tcBorders>
          </w:tcPr>
          <w:p w14:paraId="76AED4F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99" w:type="pct"/>
            <w:gridSpan w:val="2"/>
            <w:tcBorders>
              <w:top w:val="single" w:sz="4" w:space="0" w:color="auto"/>
              <w:left w:val="single" w:sz="4" w:space="0" w:color="auto"/>
              <w:bottom w:val="single" w:sz="4" w:space="0" w:color="auto"/>
              <w:right w:val="single" w:sz="4" w:space="0" w:color="auto"/>
            </w:tcBorders>
          </w:tcPr>
          <w:p w14:paraId="2C2C3234" w14:textId="77777777" w:rsidR="008F0CED" w:rsidRPr="008F0CED" w:rsidRDefault="008F0CED" w:rsidP="008F0CED">
            <w:pPr>
              <w:tabs>
                <w:tab w:val="left" w:pos="2835"/>
              </w:tabs>
              <w:spacing w:before="120" w:after="120" w:line="240" w:lineRule="auto"/>
              <w:ind w:firstLine="21"/>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368EAE8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1AC9A53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5019FFDE"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66BA611" w14:textId="77777777" w:rsidR="008F0CED" w:rsidRPr="008F0CED" w:rsidRDefault="008F0CED" w:rsidP="00194F95">
            <w:pPr>
              <w:numPr>
                <w:ilvl w:val="1"/>
                <w:numId w:val="12"/>
              </w:numPr>
              <w:tabs>
                <w:tab w:val="left" w:pos="2835"/>
              </w:tabs>
              <w:spacing w:before="120" w:after="120" w:line="240" w:lineRule="auto"/>
              <w:contextualSpacing/>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 d)</w:t>
            </w:r>
          </w:p>
        </w:tc>
        <w:tc>
          <w:tcPr>
            <w:tcW w:w="945" w:type="pct"/>
            <w:tcBorders>
              <w:top w:val="single" w:sz="4" w:space="0" w:color="auto"/>
              <w:left w:val="single" w:sz="4" w:space="0" w:color="auto"/>
              <w:bottom w:val="single" w:sz="4" w:space="0" w:color="auto"/>
              <w:right w:val="single" w:sz="4" w:space="0" w:color="auto"/>
            </w:tcBorders>
          </w:tcPr>
          <w:p w14:paraId="3ACE91B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(d) documents, such as sensitive data, which are excluded from access by virtue of the access regimes in the Member State, including on grounds of:</w:t>
            </w:r>
          </w:p>
          <w:p w14:paraId="21B84A5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(i) the protection of national security (namely, State security), defence, or public security;</w:t>
            </w:r>
          </w:p>
          <w:p w14:paraId="36096617"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(ii) statistical confidentiality;</w:t>
            </w:r>
          </w:p>
          <w:p w14:paraId="219E62D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(iii) commercial confidentiality (including business, professional or company secrets);</w:t>
            </w:r>
          </w:p>
        </w:tc>
        <w:tc>
          <w:tcPr>
            <w:tcW w:w="324" w:type="pct"/>
            <w:tcBorders>
              <w:top w:val="single" w:sz="4" w:space="0" w:color="auto"/>
              <w:left w:val="single" w:sz="4" w:space="0" w:color="auto"/>
              <w:bottom w:val="single" w:sz="4" w:space="0" w:color="auto"/>
              <w:right w:val="single" w:sz="4" w:space="0" w:color="auto"/>
            </w:tcBorders>
          </w:tcPr>
          <w:p w14:paraId="544192F6"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en-GB" w:eastAsia="en-GB"/>
              </w:rPr>
              <w:t>25.</w:t>
            </w:r>
            <w:r w:rsidRPr="008F0CED">
              <w:rPr>
                <w:rFonts w:ascii="Times New Roman" w:hAnsi="Times New Roman" w:cs="Times New Roman"/>
                <w:sz w:val="20"/>
                <w:szCs w:val="20"/>
                <w:lang w:val="sr-Cyrl-RS" w:eastAsia="en-GB"/>
              </w:rPr>
              <w:t>4</w:t>
            </w:r>
            <w:r w:rsidRPr="008F0CED">
              <w:rPr>
                <w:rFonts w:ascii="Times New Roman" w:hAnsi="Times New Roman" w:cs="Times New Roman"/>
                <w:sz w:val="20"/>
                <w:szCs w:val="20"/>
                <w:lang w:val="en-GB" w:eastAsia="en-GB"/>
              </w:rPr>
              <w:t>. 4)</w:t>
            </w:r>
          </w:p>
        </w:tc>
        <w:tc>
          <w:tcPr>
            <w:tcW w:w="1231" w:type="pct"/>
            <w:vMerge/>
            <w:tcBorders>
              <w:left w:val="single" w:sz="4" w:space="0" w:color="auto"/>
              <w:right w:val="single" w:sz="4" w:space="0" w:color="auto"/>
            </w:tcBorders>
          </w:tcPr>
          <w:p w14:paraId="72AFD98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vMerge/>
            <w:tcBorders>
              <w:left w:val="single" w:sz="4" w:space="0" w:color="auto"/>
              <w:right w:val="single" w:sz="4" w:space="0" w:color="auto"/>
            </w:tcBorders>
          </w:tcPr>
          <w:p w14:paraId="5F3A15E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99" w:type="pct"/>
            <w:gridSpan w:val="2"/>
            <w:tcBorders>
              <w:top w:val="single" w:sz="4" w:space="0" w:color="auto"/>
              <w:left w:val="single" w:sz="4" w:space="0" w:color="auto"/>
              <w:bottom w:val="single" w:sz="4" w:space="0" w:color="auto"/>
              <w:right w:val="single" w:sz="4" w:space="0" w:color="auto"/>
            </w:tcBorders>
          </w:tcPr>
          <w:p w14:paraId="5266CF0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4D211B6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0A2532C9"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0611F816"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079BFFE" w14:textId="77777777" w:rsidR="008F0CED" w:rsidRPr="008F0CED" w:rsidRDefault="008F0CED" w:rsidP="00194F95">
            <w:pPr>
              <w:numPr>
                <w:ilvl w:val="1"/>
                <w:numId w:val="13"/>
              </w:numPr>
              <w:tabs>
                <w:tab w:val="left" w:pos="2835"/>
              </w:tabs>
              <w:spacing w:before="120" w:after="120" w:line="240" w:lineRule="auto"/>
              <w:contextualSpacing/>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 e)</w:t>
            </w:r>
          </w:p>
        </w:tc>
        <w:tc>
          <w:tcPr>
            <w:tcW w:w="945" w:type="pct"/>
            <w:tcBorders>
              <w:top w:val="single" w:sz="4" w:space="0" w:color="auto"/>
              <w:left w:val="single" w:sz="4" w:space="0" w:color="auto"/>
              <w:bottom w:val="single" w:sz="4" w:space="0" w:color="auto"/>
              <w:right w:val="single" w:sz="4" w:space="0" w:color="auto"/>
            </w:tcBorders>
          </w:tcPr>
          <w:p w14:paraId="29C72CA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(e) documents access to which is excluded or restricted on grounds of sensitive critical infrastructure protection related information as defined in point (d) of Article 2 of Directive 2008/114/EC;</w:t>
            </w:r>
          </w:p>
        </w:tc>
        <w:tc>
          <w:tcPr>
            <w:tcW w:w="324" w:type="pct"/>
            <w:tcBorders>
              <w:top w:val="single" w:sz="4" w:space="0" w:color="auto"/>
              <w:left w:val="single" w:sz="4" w:space="0" w:color="auto"/>
              <w:bottom w:val="single" w:sz="4" w:space="0" w:color="auto"/>
              <w:right w:val="single" w:sz="4" w:space="0" w:color="auto"/>
            </w:tcBorders>
          </w:tcPr>
          <w:p w14:paraId="59097B34"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sr-Latn-RS" w:eastAsia="en-GB"/>
              </w:rPr>
            </w:pPr>
            <w:r w:rsidRPr="008F0CED">
              <w:rPr>
                <w:rFonts w:ascii="Times New Roman" w:hAnsi="Times New Roman" w:cs="Times New Roman"/>
                <w:sz w:val="20"/>
                <w:szCs w:val="20"/>
                <w:lang w:val="en-GB" w:eastAsia="en-GB"/>
              </w:rPr>
              <w:t>25.</w:t>
            </w:r>
            <w:r w:rsidRPr="008F0CED">
              <w:rPr>
                <w:rFonts w:ascii="Times New Roman" w:hAnsi="Times New Roman" w:cs="Times New Roman"/>
                <w:sz w:val="20"/>
                <w:szCs w:val="20"/>
                <w:lang w:val="sr-Cyrl-RS" w:eastAsia="en-GB"/>
              </w:rPr>
              <w:t>4</w:t>
            </w:r>
            <w:r w:rsidRPr="008F0CED">
              <w:rPr>
                <w:rFonts w:ascii="Times New Roman" w:hAnsi="Times New Roman" w:cs="Times New Roman"/>
                <w:sz w:val="20"/>
                <w:szCs w:val="20"/>
                <w:lang w:val="en-GB" w:eastAsia="en-GB"/>
              </w:rPr>
              <w:t>. 5)</w:t>
            </w:r>
          </w:p>
        </w:tc>
        <w:tc>
          <w:tcPr>
            <w:tcW w:w="1231" w:type="pct"/>
            <w:vMerge/>
            <w:tcBorders>
              <w:left w:val="single" w:sz="4" w:space="0" w:color="auto"/>
              <w:right w:val="single" w:sz="4" w:space="0" w:color="auto"/>
            </w:tcBorders>
          </w:tcPr>
          <w:p w14:paraId="5BC866F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vMerge/>
            <w:tcBorders>
              <w:left w:val="single" w:sz="4" w:space="0" w:color="auto"/>
              <w:right w:val="single" w:sz="4" w:space="0" w:color="auto"/>
            </w:tcBorders>
          </w:tcPr>
          <w:p w14:paraId="3223BD5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99" w:type="pct"/>
            <w:gridSpan w:val="2"/>
            <w:tcBorders>
              <w:top w:val="single" w:sz="4" w:space="0" w:color="auto"/>
              <w:left w:val="single" w:sz="4" w:space="0" w:color="auto"/>
              <w:bottom w:val="single" w:sz="4" w:space="0" w:color="auto"/>
              <w:right w:val="single" w:sz="4" w:space="0" w:color="auto"/>
            </w:tcBorders>
          </w:tcPr>
          <w:p w14:paraId="2024A79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393E7A5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2CE91D3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0A0FDCF4"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7A670D33" w14:textId="77777777" w:rsidR="008F0CED" w:rsidRPr="008F0CED" w:rsidRDefault="008F0CED" w:rsidP="00194F95">
            <w:pPr>
              <w:numPr>
                <w:ilvl w:val="1"/>
                <w:numId w:val="4"/>
              </w:numPr>
              <w:tabs>
                <w:tab w:val="left" w:pos="2835"/>
              </w:tabs>
              <w:spacing w:before="120" w:after="120" w:line="240" w:lineRule="auto"/>
              <w:contextualSpacing/>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 f)</w:t>
            </w:r>
          </w:p>
        </w:tc>
        <w:tc>
          <w:tcPr>
            <w:tcW w:w="945" w:type="pct"/>
            <w:tcBorders>
              <w:top w:val="single" w:sz="4" w:space="0" w:color="auto"/>
              <w:left w:val="single" w:sz="4" w:space="0" w:color="auto"/>
              <w:bottom w:val="single" w:sz="4" w:space="0" w:color="auto"/>
              <w:right w:val="single" w:sz="4" w:space="0" w:color="auto"/>
            </w:tcBorders>
          </w:tcPr>
          <w:p w14:paraId="5E7259FB"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(f) documents access to which is restricted by virtue of the access regimes in the Member States, including cases whereby citizens or legal entities have to prove a particular interest to obtain access to documents;</w:t>
            </w:r>
          </w:p>
        </w:tc>
        <w:tc>
          <w:tcPr>
            <w:tcW w:w="324" w:type="pct"/>
            <w:tcBorders>
              <w:top w:val="single" w:sz="4" w:space="0" w:color="auto"/>
              <w:left w:val="single" w:sz="4" w:space="0" w:color="auto"/>
              <w:bottom w:val="single" w:sz="4" w:space="0" w:color="auto"/>
              <w:right w:val="single" w:sz="4" w:space="0" w:color="auto"/>
            </w:tcBorders>
          </w:tcPr>
          <w:p w14:paraId="63F2E725"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sr-Latn-RS" w:eastAsia="en-GB"/>
              </w:rPr>
            </w:pPr>
            <w:r w:rsidRPr="008F0CED">
              <w:rPr>
                <w:rFonts w:ascii="Times New Roman" w:hAnsi="Times New Roman" w:cs="Times New Roman"/>
                <w:sz w:val="20"/>
                <w:szCs w:val="20"/>
                <w:lang w:val="sr-Latn-RS" w:eastAsia="en-GB"/>
              </w:rPr>
              <w:t>25.</w:t>
            </w:r>
            <w:r w:rsidRPr="008F0CED">
              <w:rPr>
                <w:rFonts w:ascii="Times New Roman" w:hAnsi="Times New Roman" w:cs="Times New Roman"/>
                <w:sz w:val="20"/>
                <w:szCs w:val="20"/>
                <w:lang w:val="sr-Cyrl-RS" w:eastAsia="en-GB"/>
              </w:rPr>
              <w:t>4</w:t>
            </w:r>
            <w:r w:rsidRPr="008F0CED">
              <w:rPr>
                <w:rFonts w:ascii="Times New Roman" w:hAnsi="Times New Roman" w:cs="Times New Roman"/>
                <w:sz w:val="20"/>
                <w:szCs w:val="20"/>
                <w:lang w:val="sr-Latn-RS" w:eastAsia="en-GB"/>
              </w:rPr>
              <w:t>.</w:t>
            </w:r>
            <w:r w:rsidRPr="008F0CED">
              <w:rPr>
                <w:rFonts w:ascii="Times New Roman" w:hAnsi="Times New Roman" w:cs="Times New Roman"/>
                <w:sz w:val="20"/>
                <w:szCs w:val="20"/>
                <w:lang w:val="sr-Cyrl-RS" w:eastAsia="en-GB"/>
              </w:rPr>
              <w:t xml:space="preserve"> </w:t>
            </w:r>
            <w:r w:rsidRPr="008F0CED">
              <w:rPr>
                <w:rFonts w:ascii="Times New Roman" w:hAnsi="Times New Roman" w:cs="Times New Roman"/>
                <w:sz w:val="20"/>
                <w:szCs w:val="20"/>
                <w:lang w:val="sr-Latn-RS" w:eastAsia="en-GB"/>
              </w:rPr>
              <w:t>6)</w:t>
            </w:r>
          </w:p>
        </w:tc>
        <w:tc>
          <w:tcPr>
            <w:tcW w:w="1231" w:type="pct"/>
            <w:vMerge/>
            <w:tcBorders>
              <w:left w:val="single" w:sz="4" w:space="0" w:color="auto"/>
              <w:right w:val="single" w:sz="4" w:space="0" w:color="auto"/>
            </w:tcBorders>
          </w:tcPr>
          <w:p w14:paraId="789A650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vMerge/>
            <w:tcBorders>
              <w:left w:val="single" w:sz="4" w:space="0" w:color="auto"/>
              <w:right w:val="single" w:sz="4" w:space="0" w:color="auto"/>
            </w:tcBorders>
          </w:tcPr>
          <w:p w14:paraId="5622E80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99" w:type="pct"/>
            <w:gridSpan w:val="2"/>
            <w:tcBorders>
              <w:top w:val="single" w:sz="4" w:space="0" w:color="auto"/>
              <w:left w:val="single" w:sz="4" w:space="0" w:color="auto"/>
              <w:bottom w:val="single" w:sz="4" w:space="0" w:color="auto"/>
              <w:right w:val="single" w:sz="4" w:space="0" w:color="auto"/>
            </w:tcBorders>
          </w:tcPr>
          <w:p w14:paraId="142B513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5CD6B50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33EC449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7CBF2102"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D9C216F" w14:textId="77777777" w:rsidR="008F0CED" w:rsidRPr="008F0CED" w:rsidRDefault="008F0CED" w:rsidP="00194F95">
            <w:pPr>
              <w:numPr>
                <w:ilvl w:val="1"/>
                <w:numId w:val="5"/>
              </w:numPr>
              <w:tabs>
                <w:tab w:val="left" w:pos="2835"/>
              </w:tabs>
              <w:spacing w:before="120" w:after="120" w:line="240" w:lineRule="auto"/>
              <w:contextualSpacing/>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 g)</w:t>
            </w:r>
          </w:p>
        </w:tc>
        <w:tc>
          <w:tcPr>
            <w:tcW w:w="945" w:type="pct"/>
            <w:tcBorders>
              <w:top w:val="single" w:sz="4" w:space="0" w:color="auto"/>
              <w:left w:val="single" w:sz="4" w:space="0" w:color="auto"/>
              <w:bottom w:val="single" w:sz="4" w:space="0" w:color="auto"/>
              <w:right w:val="single" w:sz="4" w:space="0" w:color="auto"/>
            </w:tcBorders>
          </w:tcPr>
          <w:p w14:paraId="09BB59E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(g) logos, crests and insignia;</w:t>
            </w:r>
          </w:p>
        </w:tc>
        <w:tc>
          <w:tcPr>
            <w:tcW w:w="324" w:type="pct"/>
            <w:tcBorders>
              <w:top w:val="single" w:sz="4" w:space="0" w:color="auto"/>
              <w:left w:val="single" w:sz="4" w:space="0" w:color="auto"/>
              <w:bottom w:val="single" w:sz="4" w:space="0" w:color="auto"/>
              <w:right w:val="single" w:sz="4" w:space="0" w:color="auto"/>
            </w:tcBorders>
          </w:tcPr>
          <w:p w14:paraId="737567DB"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sr-Latn-RS" w:eastAsia="en-GB"/>
              </w:rPr>
            </w:pPr>
            <w:r w:rsidRPr="008F0CED">
              <w:rPr>
                <w:rFonts w:ascii="Times New Roman" w:hAnsi="Times New Roman" w:cs="Times New Roman"/>
                <w:sz w:val="20"/>
                <w:szCs w:val="20"/>
                <w:lang w:val="sr-Latn-RS" w:eastAsia="en-GB"/>
              </w:rPr>
              <w:t>25.</w:t>
            </w:r>
            <w:r w:rsidRPr="008F0CED">
              <w:rPr>
                <w:rFonts w:ascii="Times New Roman" w:hAnsi="Times New Roman" w:cs="Times New Roman"/>
                <w:sz w:val="20"/>
                <w:szCs w:val="20"/>
                <w:lang w:val="sr-Cyrl-RS" w:eastAsia="en-GB"/>
              </w:rPr>
              <w:t>4</w:t>
            </w:r>
            <w:r w:rsidRPr="008F0CED">
              <w:rPr>
                <w:rFonts w:ascii="Times New Roman" w:hAnsi="Times New Roman" w:cs="Times New Roman"/>
                <w:sz w:val="20"/>
                <w:szCs w:val="20"/>
                <w:lang w:val="sr-Latn-RS" w:eastAsia="en-GB"/>
              </w:rPr>
              <w:t>. 7)</w:t>
            </w:r>
          </w:p>
        </w:tc>
        <w:tc>
          <w:tcPr>
            <w:tcW w:w="1231" w:type="pct"/>
            <w:vMerge/>
            <w:tcBorders>
              <w:left w:val="single" w:sz="4" w:space="0" w:color="auto"/>
              <w:right w:val="single" w:sz="4" w:space="0" w:color="auto"/>
            </w:tcBorders>
          </w:tcPr>
          <w:p w14:paraId="7A1E347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vMerge/>
            <w:tcBorders>
              <w:left w:val="single" w:sz="4" w:space="0" w:color="auto"/>
              <w:right w:val="single" w:sz="4" w:space="0" w:color="auto"/>
            </w:tcBorders>
          </w:tcPr>
          <w:p w14:paraId="73CEC4D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99" w:type="pct"/>
            <w:gridSpan w:val="2"/>
            <w:tcBorders>
              <w:top w:val="single" w:sz="4" w:space="0" w:color="auto"/>
              <w:left w:val="single" w:sz="4" w:space="0" w:color="auto"/>
              <w:bottom w:val="single" w:sz="4" w:space="0" w:color="auto"/>
              <w:right w:val="single" w:sz="4" w:space="0" w:color="auto"/>
            </w:tcBorders>
          </w:tcPr>
          <w:p w14:paraId="5E634F3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22E1DCD9"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4DE246B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47D3C20F"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4B623DB7" w14:textId="77777777" w:rsidR="008F0CED" w:rsidRPr="008F0CED" w:rsidRDefault="008F0CED" w:rsidP="00194F95">
            <w:pPr>
              <w:numPr>
                <w:ilvl w:val="1"/>
                <w:numId w:val="6"/>
              </w:numPr>
              <w:tabs>
                <w:tab w:val="left" w:pos="2835"/>
              </w:tabs>
              <w:spacing w:before="120" w:after="120" w:line="240" w:lineRule="auto"/>
              <w:contextualSpacing/>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 h)</w:t>
            </w:r>
          </w:p>
        </w:tc>
        <w:tc>
          <w:tcPr>
            <w:tcW w:w="945" w:type="pct"/>
            <w:tcBorders>
              <w:top w:val="single" w:sz="4" w:space="0" w:color="auto"/>
              <w:left w:val="single" w:sz="4" w:space="0" w:color="auto"/>
              <w:bottom w:val="single" w:sz="4" w:space="0" w:color="auto"/>
              <w:right w:val="single" w:sz="4" w:space="0" w:color="auto"/>
            </w:tcBorders>
          </w:tcPr>
          <w:p w14:paraId="12E67637"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(h) documents, access to which is excluded or restricted by virtue of the access regimes on grounds of protection of personal data, and parts of documents accessible by virtue of those regimes which contain personal data the re-use of which has been defined by law as being incompatible with the law concerning the protection of individuals with regard to the processing of personal data or as undermining the protection of privacy and the integrity of the individual, in particular in accordance with Union or national law regarding the protection of personal data;</w:t>
            </w:r>
          </w:p>
        </w:tc>
        <w:tc>
          <w:tcPr>
            <w:tcW w:w="324" w:type="pct"/>
            <w:tcBorders>
              <w:top w:val="single" w:sz="4" w:space="0" w:color="auto"/>
              <w:left w:val="single" w:sz="4" w:space="0" w:color="auto"/>
              <w:bottom w:val="single" w:sz="4" w:space="0" w:color="auto"/>
              <w:right w:val="single" w:sz="4" w:space="0" w:color="auto"/>
            </w:tcBorders>
          </w:tcPr>
          <w:p w14:paraId="2E51E290"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sr-Latn-RS" w:eastAsia="en-GB"/>
              </w:rPr>
            </w:pPr>
            <w:r w:rsidRPr="008F0CED">
              <w:rPr>
                <w:rFonts w:ascii="Times New Roman" w:hAnsi="Times New Roman" w:cs="Times New Roman"/>
                <w:sz w:val="20"/>
                <w:szCs w:val="20"/>
                <w:lang w:val="sr-Latn-RS" w:eastAsia="en-GB"/>
              </w:rPr>
              <w:t>25.</w:t>
            </w:r>
            <w:r w:rsidRPr="008F0CED">
              <w:rPr>
                <w:rFonts w:ascii="Times New Roman" w:hAnsi="Times New Roman" w:cs="Times New Roman"/>
                <w:sz w:val="20"/>
                <w:szCs w:val="20"/>
                <w:lang w:val="sr-Cyrl-RS" w:eastAsia="en-GB"/>
              </w:rPr>
              <w:t>4</w:t>
            </w:r>
            <w:r w:rsidRPr="008F0CED">
              <w:rPr>
                <w:rFonts w:ascii="Times New Roman" w:hAnsi="Times New Roman" w:cs="Times New Roman"/>
                <w:sz w:val="20"/>
                <w:szCs w:val="20"/>
                <w:lang w:val="sr-Latn-RS" w:eastAsia="en-GB"/>
              </w:rPr>
              <w:t>.</w:t>
            </w:r>
            <w:r w:rsidRPr="008F0CED">
              <w:rPr>
                <w:rFonts w:ascii="Times New Roman" w:hAnsi="Times New Roman" w:cs="Times New Roman"/>
                <w:sz w:val="20"/>
                <w:szCs w:val="20"/>
                <w:lang w:val="sr-Cyrl-RS" w:eastAsia="en-GB"/>
              </w:rPr>
              <w:t xml:space="preserve"> </w:t>
            </w:r>
            <w:r w:rsidRPr="008F0CED">
              <w:rPr>
                <w:rFonts w:ascii="Times New Roman" w:hAnsi="Times New Roman" w:cs="Times New Roman"/>
                <w:sz w:val="20"/>
                <w:szCs w:val="20"/>
                <w:lang w:val="sr-Latn-RS" w:eastAsia="en-GB"/>
              </w:rPr>
              <w:t>8)</w:t>
            </w:r>
          </w:p>
        </w:tc>
        <w:tc>
          <w:tcPr>
            <w:tcW w:w="1231" w:type="pct"/>
            <w:vMerge/>
            <w:tcBorders>
              <w:left w:val="single" w:sz="4" w:space="0" w:color="auto"/>
              <w:right w:val="single" w:sz="4" w:space="0" w:color="auto"/>
            </w:tcBorders>
          </w:tcPr>
          <w:p w14:paraId="166D8C3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vMerge/>
            <w:tcBorders>
              <w:left w:val="single" w:sz="4" w:space="0" w:color="auto"/>
              <w:right w:val="single" w:sz="4" w:space="0" w:color="auto"/>
            </w:tcBorders>
          </w:tcPr>
          <w:p w14:paraId="03A84AD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99" w:type="pct"/>
            <w:gridSpan w:val="2"/>
            <w:tcBorders>
              <w:top w:val="single" w:sz="4" w:space="0" w:color="auto"/>
              <w:left w:val="single" w:sz="4" w:space="0" w:color="auto"/>
              <w:bottom w:val="single" w:sz="4" w:space="0" w:color="auto"/>
              <w:right w:val="single" w:sz="4" w:space="0" w:color="auto"/>
            </w:tcBorders>
          </w:tcPr>
          <w:p w14:paraId="6A4C949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16ED475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27D5957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52CD4090"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21C88C66" w14:textId="77777777" w:rsidR="008F0CED" w:rsidRPr="008F0CED" w:rsidRDefault="008F0CED" w:rsidP="00194F95">
            <w:pPr>
              <w:numPr>
                <w:ilvl w:val="1"/>
                <w:numId w:val="7"/>
              </w:numPr>
              <w:tabs>
                <w:tab w:val="left" w:pos="2835"/>
              </w:tabs>
              <w:spacing w:before="120" w:after="120" w:line="240" w:lineRule="auto"/>
              <w:contextualSpacing/>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 i)</w:t>
            </w:r>
          </w:p>
        </w:tc>
        <w:tc>
          <w:tcPr>
            <w:tcW w:w="945" w:type="pct"/>
            <w:tcBorders>
              <w:top w:val="single" w:sz="4" w:space="0" w:color="auto"/>
              <w:left w:val="single" w:sz="4" w:space="0" w:color="auto"/>
              <w:bottom w:val="single" w:sz="4" w:space="0" w:color="auto"/>
              <w:right w:val="single" w:sz="4" w:space="0" w:color="auto"/>
            </w:tcBorders>
          </w:tcPr>
          <w:p w14:paraId="25BEDB7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(i) documents held by public service broadcasters and their subsidiaries, and by other bodies or their subsidiaries for the fulfilment of a public service broadcasting remit;</w:t>
            </w:r>
          </w:p>
        </w:tc>
        <w:tc>
          <w:tcPr>
            <w:tcW w:w="324" w:type="pct"/>
            <w:tcBorders>
              <w:top w:val="single" w:sz="4" w:space="0" w:color="auto"/>
              <w:left w:val="single" w:sz="4" w:space="0" w:color="auto"/>
              <w:bottom w:val="single" w:sz="4" w:space="0" w:color="auto"/>
              <w:right w:val="single" w:sz="4" w:space="0" w:color="auto"/>
            </w:tcBorders>
          </w:tcPr>
          <w:p w14:paraId="25F5C609"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sr-Latn-RS" w:eastAsia="en-GB"/>
              </w:rPr>
            </w:pPr>
            <w:r w:rsidRPr="008F0CED">
              <w:rPr>
                <w:rFonts w:ascii="Times New Roman" w:hAnsi="Times New Roman" w:cs="Times New Roman"/>
                <w:sz w:val="20"/>
                <w:szCs w:val="20"/>
                <w:lang w:val="sr-Latn-RS" w:eastAsia="en-GB"/>
              </w:rPr>
              <w:t>25.</w:t>
            </w:r>
            <w:r w:rsidRPr="008F0CED">
              <w:rPr>
                <w:rFonts w:ascii="Times New Roman" w:hAnsi="Times New Roman" w:cs="Times New Roman"/>
                <w:sz w:val="20"/>
                <w:szCs w:val="20"/>
                <w:lang w:val="sr-Cyrl-RS" w:eastAsia="en-GB"/>
              </w:rPr>
              <w:t>4</w:t>
            </w:r>
            <w:r w:rsidRPr="008F0CED">
              <w:rPr>
                <w:rFonts w:ascii="Times New Roman" w:hAnsi="Times New Roman" w:cs="Times New Roman"/>
                <w:sz w:val="20"/>
                <w:szCs w:val="20"/>
                <w:lang w:val="sr-Latn-RS" w:eastAsia="en-GB"/>
              </w:rPr>
              <w:t>.</w:t>
            </w:r>
            <w:r w:rsidRPr="008F0CED">
              <w:rPr>
                <w:rFonts w:ascii="Times New Roman" w:hAnsi="Times New Roman" w:cs="Times New Roman"/>
                <w:sz w:val="20"/>
                <w:szCs w:val="20"/>
                <w:lang w:val="sr-Cyrl-RS" w:eastAsia="en-GB"/>
              </w:rPr>
              <w:t xml:space="preserve"> </w:t>
            </w:r>
            <w:r w:rsidRPr="008F0CED">
              <w:rPr>
                <w:rFonts w:ascii="Times New Roman" w:hAnsi="Times New Roman" w:cs="Times New Roman"/>
                <w:sz w:val="20"/>
                <w:szCs w:val="20"/>
                <w:lang w:val="sr-Latn-RS" w:eastAsia="en-GB"/>
              </w:rPr>
              <w:t>9)</w:t>
            </w:r>
          </w:p>
        </w:tc>
        <w:tc>
          <w:tcPr>
            <w:tcW w:w="1231" w:type="pct"/>
            <w:vMerge/>
            <w:tcBorders>
              <w:left w:val="single" w:sz="4" w:space="0" w:color="auto"/>
              <w:right w:val="single" w:sz="4" w:space="0" w:color="auto"/>
            </w:tcBorders>
          </w:tcPr>
          <w:p w14:paraId="60BB196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vMerge/>
            <w:tcBorders>
              <w:left w:val="single" w:sz="4" w:space="0" w:color="auto"/>
              <w:right w:val="single" w:sz="4" w:space="0" w:color="auto"/>
            </w:tcBorders>
          </w:tcPr>
          <w:p w14:paraId="04C9EE2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99" w:type="pct"/>
            <w:gridSpan w:val="2"/>
            <w:tcBorders>
              <w:top w:val="single" w:sz="4" w:space="0" w:color="auto"/>
              <w:left w:val="single" w:sz="4" w:space="0" w:color="auto"/>
              <w:bottom w:val="single" w:sz="4" w:space="0" w:color="auto"/>
              <w:right w:val="single" w:sz="4" w:space="0" w:color="auto"/>
            </w:tcBorders>
          </w:tcPr>
          <w:p w14:paraId="51C29D1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32127C4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0A35F38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21151CFB"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2732B413" w14:textId="77777777" w:rsidR="008F0CED" w:rsidRPr="008F0CED" w:rsidRDefault="008F0CED" w:rsidP="00194F95">
            <w:pPr>
              <w:numPr>
                <w:ilvl w:val="1"/>
                <w:numId w:val="8"/>
              </w:numPr>
              <w:tabs>
                <w:tab w:val="left" w:pos="2835"/>
              </w:tabs>
              <w:spacing w:before="120" w:after="120" w:line="240" w:lineRule="auto"/>
              <w:contextualSpacing/>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 j)</w:t>
            </w:r>
          </w:p>
        </w:tc>
        <w:tc>
          <w:tcPr>
            <w:tcW w:w="945" w:type="pct"/>
            <w:tcBorders>
              <w:top w:val="single" w:sz="4" w:space="0" w:color="auto"/>
              <w:left w:val="single" w:sz="4" w:space="0" w:color="auto"/>
              <w:bottom w:val="single" w:sz="4" w:space="0" w:color="auto"/>
              <w:right w:val="single" w:sz="4" w:space="0" w:color="auto"/>
            </w:tcBorders>
          </w:tcPr>
          <w:p w14:paraId="5F32F59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(j) documents held by cultural establishments other than libraries, including university libraries, museums and archives;</w:t>
            </w:r>
          </w:p>
        </w:tc>
        <w:tc>
          <w:tcPr>
            <w:tcW w:w="324" w:type="pct"/>
            <w:tcBorders>
              <w:top w:val="single" w:sz="4" w:space="0" w:color="auto"/>
              <w:left w:val="single" w:sz="4" w:space="0" w:color="auto"/>
              <w:bottom w:val="single" w:sz="4" w:space="0" w:color="auto"/>
              <w:right w:val="single" w:sz="4" w:space="0" w:color="auto"/>
            </w:tcBorders>
          </w:tcPr>
          <w:p w14:paraId="4105C1D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25.</w:t>
            </w:r>
            <w:r w:rsidRPr="008F0CED">
              <w:rPr>
                <w:rFonts w:ascii="Times New Roman" w:hAnsi="Times New Roman" w:cs="Times New Roman"/>
                <w:sz w:val="20"/>
                <w:szCs w:val="20"/>
                <w:lang w:val="sr-Cyrl-RS" w:eastAsia="en-GB"/>
              </w:rPr>
              <w:t>4</w:t>
            </w:r>
            <w:r w:rsidRPr="008F0CED">
              <w:rPr>
                <w:rFonts w:ascii="Times New Roman" w:hAnsi="Times New Roman" w:cs="Times New Roman"/>
                <w:sz w:val="20"/>
                <w:szCs w:val="20"/>
                <w:lang w:val="en-GB" w:eastAsia="en-GB"/>
              </w:rPr>
              <w:t>.10)</w:t>
            </w:r>
          </w:p>
        </w:tc>
        <w:tc>
          <w:tcPr>
            <w:tcW w:w="1231" w:type="pct"/>
            <w:vMerge/>
            <w:tcBorders>
              <w:left w:val="single" w:sz="4" w:space="0" w:color="auto"/>
              <w:right w:val="single" w:sz="4" w:space="0" w:color="auto"/>
            </w:tcBorders>
          </w:tcPr>
          <w:p w14:paraId="14EADA6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vMerge/>
            <w:tcBorders>
              <w:left w:val="single" w:sz="4" w:space="0" w:color="auto"/>
              <w:right w:val="single" w:sz="4" w:space="0" w:color="auto"/>
            </w:tcBorders>
          </w:tcPr>
          <w:p w14:paraId="10C8A3B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99" w:type="pct"/>
            <w:gridSpan w:val="2"/>
            <w:tcBorders>
              <w:top w:val="single" w:sz="4" w:space="0" w:color="auto"/>
              <w:left w:val="single" w:sz="4" w:space="0" w:color="auto"/>
              <w:bottom w:val="single" w:sz="4" w:space="0" w:color="auto"/>
              <w:right w:val="single" w:sz="4" w:space="0" w:color="auto"/>
            </w:tcBorders>
          </w:tcPr>
          <w:p w14:paraId="7C3C78B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36F0064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312CDC8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5CDF9F31"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42059F47" w14:textId="77777777" w:rsidR="008F0CED" w:rsidRPr="008F0CED" w:rsidRDefault="008F0CED" w:rsidP="00194F95">
            <w:pPr>
              <w:numPr>
                <w:ilvl w:val="1"/>
                <w:numId w:val="9"/>
              </w:numPr>
              <w:tabs>
                <w:tab w:val="left" w:pos="2835"/>
              </w:tabs>
              <w:spacing w:before="120" w:after="120" w:line="240" w:lineRule="auto"/>
              <w:contextualSpacing/>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 k)</w:t>
            </w:r>
          </w:p>
        </w:tc>
        <w:tc>
          <w:tcPr>
            <w:tcW w:w="945" w:type="pct"/>
            <w:tcBorders>
              <w:top w:val="single" w:sz="4" w:space="0" w:color="auto"/>
              <w:left w:val="single" w:sz="4" w:space="0" w:color="auto"/>
              <w:bottom w:val="single" w:sz="4" w:space="0" w:color="auto"/>
              <w:right w:val="single" w:sz="4" w:space="0" w:color="auto"/>
            </w:tcBorders>
          </w:tcPr>
          <w:p w14:paraId="6CBC355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(k) documents held by educational establishments of secondary level and below, and, in the case of all other educational establishments, documents other than those referred to in point (c) of paragraph 1;</w:t>
            </w:r>
          </w:p>
        </w:tc>
        <w:tc>
          <w:tcPr>
            <w:tcW w:w="324" w:type="pct"/>
            <w:tcBorders>
              <w:top w:val="single" w:sz="4" w:space="0" w:color="auto"/>
              <w:left w:val="single" w:sz="4" w:space="0" w:color="auto"/>
              <w:bottom w:val="single" w:sz="4" w:space="0" w:color="auto"/>
              <w:right w:val="single" w:sz="4" w:space="0" w:color="auto"/>
            </w:tcBorders>
          </w:tcPr>
          <w:p w14:paraId="0B564C0E"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25.</w:t>
            </w:r>
            <w:r w:rsidRPr="008F0CED">
              <w:rPr>
                <w:rFonts w:ascii="Times New Roman" w:hAnsi="Times New Roman" w:cs="Times New Roman"/>
                <w:sz w:val="20"/>
                <w:szCs w:val="20"/>
                <w:lang w:val="sr-Cyrl-RS" w:eastAsia="en-GB"/>
              </w:rPr>
              <w:t>4</w:t>
            </w:r>
            <w:r w:rsidRPr="008F0CED">
              <w:rPr>
                <w:rFonts w:ascii="Times New Roman" w:hAnsi="Times New Roman" w:cs="Times New Roman"/>
                <w:sz w:val="20"/>
                <w:szCs w:val="20"/>
                <w:lang w:val="en-GB" w:eastAsia="en-GB"/>
              </w:rPr>
              <w:t>.11)</w:t>
            </w:r>
          </w:p>
          <w:p w14:paraId="08B070A8"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sr-Cyrl-RS" w:eastAsia="en-GB"/>
              </w:rPr>
            </w:pPr>
          </w:p>
        </w:tc>
        <w:tc>
          <w:tcPr>
            <w:tcW w:w="1231" w:type="pct"/>
            <w:vMerge/>
            <w:tcBorders>
              <w:left w:val="single" w:sz="4" w:space="0" w:color="auto"/>
              <w:right w:val="single" w:sz="4" w:space="0" w:color="auto"/>
            </w:tcBorders>
          </w:tcPr>
          <w:p w14:paraId="73DEA00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vMerge/>
            <w:tcBorders>
              <w:left w:val="single" w:sz="4" w:space="0" w:color="auto"/>
              <w:right w:val="single" w:sz="4" w:space="0" w:color="auto"/>
            </w:tcBorders>
          </w:tcPr>
          <w:p w14:paraId="3EADA22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99" w:type="pct"/>
            <w:gridSpan w:val="2"/>
            <w:tcBorders>
              <w:top w:val="single" w:sz="4" w:space="0" w:color="auto"/>
              <w:left w:val="single" w:sz="4" w:space="0" w:color="auto"/>
              <w:bottom w:val="single" w:sz="4" w:space="0" w:color="auto"/>
              <w:right w:val="single" w:sz="4" w:space="0" w:color="auto"/>
            </w:tcBorders>
          </w:tcPr>
          <w:p w14:paraId="26319C6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584957F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10C1261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52B8A13F"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09EAFC49" w14:textId="77777777" w:rsidR="008F0CED" w:rsidRPr="008F0CED" w:rsidRDefault="008F0CED" w:rsidP="00194F95">
            <w:pPr>
              <w:numPr>
                <w:ilvl w:val="1"/>
                <w:numId w:val="10"/>
              </w:numPr>
              <w:tabs>
                <w:tab w:val="left" w:pos="2835"/>
              </w:tabs>
              <w:spacing w:before="120" w:after="120" w:line="240" w:lineRule="auto"/>
              <w:contextualSpacing/>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 l)</w:t>
            </w:r>
          </w:p>
        </w:tc>
        <w:tc>
          <w:tcPr>
            <w:tcW w:w="945" w:type="pct"/>
            <w:tcBorders>
              <w:top w:val="single" w:sz="4" w:space="0" w:color="auto"/>
              <w:left w:val="single" w:sz="4" w:space="0" w:color="auto"/>
              <w:bottom w:val="single" w:sz="4" w:space="0" w:color="auto"/>
              <w:right w:val="single" w:sz="4" w:space="0" w:color="auto"/>
            </w:tcBorders>
          </w:tcPr>
          <w:p w14:paraId="16DD3C1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(l) documents other than those referred to in point (c) of paragraph 1 held by research performing organisations and research funding organisations, including organisations established for the transfer of research results.</w:t>
            </w:r>
          </w:p>
        </w:tc>
        <w:tc>
          <w:tcPr>
            <w:tcW w:w="324" w:type="pct"/>
            <w:tcBorders>
              <w:top w:val="single" w:sz="4" w:space="0" w:color="auto"/>
              <w:left w:val="single" w:sz="4" w:space="0" w:color="auto"/>
              <w:bottom w:val="single" w:sz="4" w:space="0" w:color="auto"/>
              <w:right w:val="single" w:sz="4" w:space="0" w:color="auto"/>
            </w:tcBorders>
          </w:tcPr>
          <w:p w14:paraId="4055E67D"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25.</w:t>
            </w:r>
            <w:r w:rsidRPr="008F0CED">
              <w:rPr>
                <w:rFonts w:ascii="Times New Roman" w:hAnsi="Times New Roman" w:cs="Times New Roman"/>
                <w:sz w:val="20"/>
                <w:szCs w:val="20"/>
                <w:lang w:val="sr-Cyrl-RS" w:eastAsia="en-GB"/>
              </w:rPr>
              <w:t>4</w:t>
            </w:r>
            <w:r w:rsidRPr="008F0CED">
              <w:rPr>
                <w:rFonts w:ascii="Times New Roman" w:hAnsi="Times New Roman" w:cs="Times New Roman"/>
                <w:sz w:val="20"/>
                <w:szCs w:val="20"/>
                <w:lang w:val="en-GB" w:eastAsia="en-GB"/>
              </w:rPr>
              <w:t>.12)</w:t>
            </w:r>
          </w:p>
          <w:p w14:paraId="3A78177C"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en-GB" w:eastAsia="en-GB"/>
              </w:rPr>
            </w:pPr>
          </w:p>
        </w:tc>
        <w:tc>
          <w:tcPr>
            <w:tcW w:w="1231" w:type="pct"/>
            <w:vMerge/>
            <w:tcBorders>
              <w:left w:val="single" w:sz="4" w:space="0" w:color="auto"/>
              <w:bottom w:val="single" w:sz="4" w:space="0" w:color="auto"/>
              <w:right w:val="single" w:sz="4" w:space="0" w:color="auto"/>
            </w:tcBorders>
          </w:tcPr>
          <w:p w14:paraId="2C29D43A"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vMerge/>
            <w:tcBorders>
              <w:left w:val="single" w:sz="4" w:space="0" w:color="auto"/>
              <w:bottom w:val="single" w:sz="4" w:space="0" w:color="auto"/>
              <w:right w:val="single" w:sz="4" w:space="0" w:color="auto"/>
            </w:tcBorders>
          </w:tcPr>
          <w:p w14:paraId="5BBF894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99" w:type="pct"/>
            <w:gridSpan w:val="2"/>
            <w:tcBorders>
              <w:top w:val="single" w:sz="4" w:space="0" w:color="auto"/>
              <w:left w:val="single" w:sz="4" w:space="0" w:color="auto"/>
              <w:bottom w:val="single" w:sz="4" w:space="0" w:color="auto"/>
              <w:right w:val="single" w:sz="4" w:space="0" w:color="auto"/>
            </w:tcBorders>
          </w:tcPr>
          <w:p w14:paraId="5E02BC0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29F3C10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07408EF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2701687D"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00EC4BB" w14:textId="77777777" w:rsidR="008F0CED" w:rsidRPr="008F0CED" w:rsidRDefault="008F0CED" w:rsidP="00194F95">
            <w:pPr>
              <w:numPr>
                <w:ilvl w:val="1"/>
                <w:numId w:val="10"/>
              </w:numPr>
              <w:tabs>
                <w:tab w:val="left" w:pos="2835"/>
              </w:tabs>
              <w:spacing w:before="120" w:after="120" w:line="240" w:lineRule="auto"/>
              <w:contextualSpacing/>
              <w:jc w:val="both"/>
              <w:rPr>
                <w:rFonts w:ascii="Times New Roman" w:hAnsi="Times New Roman" w:cs="Times New Roman"/>
                <w:sz w:val="20"/>
                <w:szCs w:val="20"/>
                <w:lang w:val="en-GB" w:eastAsia="en-GB"/>
              </w:rPr>
            </w:pPr>
          </w:p>
        </w:tc>
        <w:tc>
          <w:tcPr>
            <w:tcW w:w="945" w:type="pct"/>
            <w:tcBorders>
              <w:top w:val="single" w:sz="4" w:space="0" w:color="auto"/>
              <w:left w:val="single" w:sz="4" w:space="0" w:color="auto"/>
              <w:bottom w:val="single" w:sz="4" w:space="0" w:color="auto"/>
              <w:right w:val="single" w:sz="4" w:space="0" w:color="auto"/>
            </w:tcBorders>
          </w:tcPr>
          <w:p w14:paraId="219E016B"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3.This Directive builds on, and is without prejudice to, Union and national access regimes.</w:t>
            </w:r>
          </w:p>
        </w:tc>
        <w:tc>
          <w:tcPr>
            <w:tcW w:w="324" w:type="pct"/>
            <w:tcBorders>
              <w:top w:val="single" w:sz="4" w:space="0" w:color="auto"/>
              <w:left w:val="single" w:sz="4" w:space="0" w:color="auto"/>
              <w:bottom w:val="single" w:sz="4" w:space="0" w:color="auto"/>
              <w:right w:val="single" w:sz="4" w:space="0" w:color="auto"/>
            </w:tcBorders>
          </w:tcPr>
          <w:p w14:paraId="45A92449"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04E1EA2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69DF8CC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НП</w:t>
            </w:r>
          </w:p>
        </w:tc>
        <w:tc>
          <w:tcPr>
            <w:tcW w:w="599" w:type="pct"/>
            <w:gridSpan w:val="2"/>
            <w:tcBorders>
              <w:top w:val="single" w:sz="4" w:space="0" w:color="auto"/>
              <w:left w:val="single" w:sz="4" w:space="0" w:color="auto"/>
              <w:bottom w:val="single" w:sz="4" w:space="0" w:color="auto"/>
              <w:right w:val="single" w:sz="4" w:space="0" w:color="auto"/>
            </w:tcBorders>
          </w:tcPr>
          <w:p w14:paraId="4028FFF1"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Није примењиво јер овај члан/став/тачка не намеће обавезу усаглашености.</w:t>
            </w:r>
          </w:p>
        </w:tc>
        <w:tc>
          <w:tcPr>
            <w:tcW w:w="513" w:type="pct"/>
            <w:tcBorders>
              <w:top w:val="single" w:sz="4" w:space="0" w:color="auto"/>
              <w:left w:val="single" w:sz="4" w:space="0" w:color="auto"/>
              <w:bottom w:val="single" w:sz="4" w:space="0" w:color="auto"/>
              <w:right w:val="single" w:sz="4" w:space="0" w:color="auto"/>
            </w:tcBorders>
          </w:tcPr>
          <w:p w14:paraId="7FEFA33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2755F0B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49F55B99"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7C12577A" w14:textId="77777777" w:rsidR="008F0CED" w:rsidRPr="008F0CED" w:rsidRDefault="008F0CED" w:rsidP="00194F95">
            <w:pPr>
              <w:numPr>
                <w:ilvl w:val="1"/>
                <w:numId w:val="10"/>
              </w:numPr>
              <w:tabs>
                <w:tab w:val="left" w:pos="2835"/>
              </w:tabs>
              <w:spacing w:before="120" w:after="120" w:line="240" w:lineRule="auto"/>
              <w:contextualSpacing/>
              <w:jc w:val="both"/>
              <w:rPr>
                <w:rFonts w:ascii="Times New Roman" w:hAnsi="Times New Roman" w:cs="Times New Roman"/>
                <w:sz w:val="20"/>
                <w:szCs w:val="20"/>
                <w:lang w:val="en-GB" w:eastAsia="en-GB"/>
              </w:rPr>
            </w:pPr>
          </w:p>
        </w:tc>
        <w:tc>
          <w:tcPr>
            <w:tcW w:w="945" w:type="pct"/>
            <w:tcBorders>
              <w:top w:val="single" w:sz="4" w:space="0" w:color="auto"/>
              <w:left w:val="single" w:sz="4" w:space="0" w:color="auto"/>
              <w:bottom w:val="single" w:sz="4" w:space="0" w:color="auto"/>
              <w:right w:val="single" w:sz="4" w:space="0" w:color="auto"/>
            </w:tcBorders>
          </w:tcPr>
          <w:p w14:paraId="66B2DBE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4.This Directive is without prejudice to Union and national law on the protection of personal data, in particular Regulation (EU) 2016/679 and Directive 2002/58/EC and the corresponding provisions of national law.</w:t>
            </w:r>
          </w:p>
        </w:tc>
        <w:tc>
          <w:tcPr>
            <w:tcW w:w="324" w:type="pct"/>
            <w:tcBorders>
              <w:top w:val="single" w:sz="4" w:space="0" w:color="auto"/>
              <w:left w:val="single" w:sz="4" w:space="0" w:color="auto"/>
              <w:bottom w:val="single" w:sz="4" w:space="0" w:color="auto"/>
              <w:right w:val="single" w:sz="4" w:space="0" w:color="auto"/>
            </w:tcBorders>
          </w:tcPr>
          <w:p w14:paraId="76AA2A9D"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7931CE1B"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06BCD26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НП</w:t>
            </w:r>
          </w:p>
        </w:tc>
        <w:tc>
          <w:tcPr>
            <w:tcW w:w="599" w:type="pct"/>
            <w:gridSpan w:val="2"/>
            <w:tcBorders>
              <w:top w:val="single" w:sz="4" w:space="0" w:color="auto"/>
              <w:left w:val="single" w:sz="4" w:space="0" w:color="auto"/>
              <w:bottom w:val="single" w:sz="4" w:space="0" w:color="auto"/>
              <w:right w:val="single" w:sz="4" w:space="0" w:color="auto"/>
            </w:tcBorders>
          </w:tcPr>
          <w:p w14:paraId="14E179BD"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Није примењиво јер овај члан/став/тачка не намеће обавезу усаглашености.</w:t>
            </w:r>
          </w:p>
        </w:tc>
        <w:tc>
          <w:tcPr>
            <w:tcW w:w="513" w:type="pct"/>
            <w:tcBorders>
              <w:top w:val="single" w:sz="4" w:space="0" w:color="auto"/>
              <w:left w:val="single" w:sz="4" w:space="0" w:color="auto"/>
              <w:bottom w:val="single" w:sz="4" w:space="0" w:color="auto"/>
              <w:right w:val="single" w:sz="4" w:space="0" w:color="auto"/>
            </w:tcBorders>
          </w:tcPr>
          <w:p w14:paraId="29080ED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352E3D6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6F1C8CF1"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64C7E09C" w14:textId="77777777" w:rsidR="008F0CED" w:rsidRPr="008F0CED" w:rsidRDefault="008F0CED" w:rsidP="00194F95">
            <w:pPr>
              <w:numPr>
                <w:ilvl w:val="1"/>
                <w:numId w:val="10"/>
              </w:numPr>
              <w:tabs>
                <w:tab w:val="left" w:pos="2835"/>
              </w:tabs>
              <w:spacing w:before="120" w:after="120" w:line="240" w:lineRule="auto"/>
              <w:contextualSpacing/>
              <w:jc w:val="both"/>
              <w:rPr>
                <w:rFonts w:ascii="Times New Roman" w:hAnsi="Times New Roman" w:cs="Times New Roman"/>
                <w:sz w:val="20"/>
                <w:szCs w:val="20"/>
                <w:lang w:val="en-GB" w:eastAsia="en-GB"/>
              </w:rPr>
            </w:pPr>
          </w:p>
        </w:tc>
        <w:tc>
          <w:tcPr>
            <w:tcW w:w="945" w:type="pct"/>
            <w:tcBorders>
              <w:top w:val="single" w:sz="4" w:space="0" w:color="auto"/>
              <w:left w:val="single" w:sz="4" w:space="0" w:color="auto"/>
              <w:bottom w:val="single" w:sz="4" w:space="0" w:color="auto"/>
              <w:right w:val="single" w:sz="4" w:space="0" w:color="auto"/>
            </w:tcBorders>
          </w:tcPr>
          <w:p w14:paraId="6300AD5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5.The obligations imposed in accordance with this Directive shall apply only insofar as they are compatible with the provisions of international agreements on the protection of intellectual property rights, in particular the Berne Convention, the TRIPS Agreement and the WCT.</w:t>
            </w:r>
          </w:p>
        </w:tc>
        <w:tc>
          <w:tcPr>
            <w:tcW w:w="324" w:type="pct"/>
            <w:tcBorders>
              <w:top w:val="single" w:sz="4" w:space="0" w:color="auto"/>
              <w:left w:val="single" w:sz="4" w:space="0" w:color="auto"/>
              <w:bottom w:val="single" w:sz="4" w:space="0" w:color="auto"/>
              <w:right w:val="single" w:sz="4" w:space="0" w:color="auto"/>
            </w:tcBorders>
          </w:tcPr>
          <w:p w14:paraId="2C05E4CD"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7927674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77B23B0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НП</w:t>
            </w:r>
          </w:p>
        </w:tc>
        <w:tc>
          <w:tcPr>
            <w:tcW w:w="599" w:type="pct"/>
            <w:gridSpan w:val="2"/>
            <w:tcBorders>
              <w:top w:val="single" w:sz="4" w:space="0" w:color="auto"/>
              <w:left w:val="single" w:sz="4" w:space="0" w:color="auto"/>
              <w:bottom w:val="single" w:sz="4" w:space="0" w:color="auto"/>
              <w:right w:val="single" w:sz="4" w:space="0" w:color="auto"/>
            </w:tcBorders>
          </w:tcPr>
          <w:p w14:paraId="0B905258"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Није примењиво јер овај члан/став/тачка одређује примењивост обавеза наметнутих у складу са овом Директивом</w:t>
            </w:r>
          </w:p>
        </w:tc>
        <w:tc>
          <w:tcPr>
            <w:tcW w:w="513" w:type="pct"/>
            <w:tcBorders>
              <w:top w:val="single" w:sz="4" w:space="0" w:color="auto"/>
              <w:left w:val="single" w:sz="4" w:space="0" w:color="auto"/>
              <w:bottom w:val="single" w:sz="4" w:space="0" w:color="auto"/>
              <w:right w:val="single" w:sz="4" w:space="0" w:color="auto"/>
            </w:tcBorders>
          </w:tcPr>
          <w:p w14:paraId="3AB3ADB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1A1D3F9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0F3B3FD8"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3557EFA4" w14:textId="77777777" w:rsidR="008F0CED" w:rsidRPr="008F0CED" w:rsidRDefault="008F0CED" w:rsidP="00194F95">
            <w:pPr>
              <w:numPr>
                <w:ilvl w:val="1"/>
                <w:numId w:val="10"/>
              </w:numPr>
              <w:tabs>
                <w:tab w:val="left" w:pos="2835"/>
              </w:tabs>
              <w:spacing w:before="120" w:after="120" w:line="240" w:lineRule="auto"/>
              <w:contextualSpacing/>
              <w:jc w:val="both"/>
              <w:rPr>
                <w:rFonts w:ascii="Times New Roman" w:hAnsi="Times New Roman" w:cs="Times New Roman"/>
                <w:sz w:val="20"/>
                <w:szCs w:val="20"/>
                <w:lang w:val="en-GB" w:eastAsia="en-GB"/>
              </w:rPr>
            </w:pPr>
          </w:p>
        </w:tc>
        <w:tc>
          <w:tcPr>
            <w:tcW w:w="945" w:type="pct"/>
            <w:tcBorders>
              <w:top w:val="single" w:sz="4" w:space="0" w:color="auto"/>
              <w:left w:val="single" w:sz="4" w:space="0" w:color="auto"/>
              <w:bottom w:val="single" w:sz="4" w:space="0" w:color="auto"/>
              <w:right w:val="single" w:sz="4" w:space="0" w:color="auto"/>
            </w:tcBorders>
          </w:tcPr>
          <w:p w14:paraId="0991243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6.The right for the maker of a database provided for in Article 7(1) of Directive 96/9/EC shall not be exercised by public sector bodies in order to prevent the re-use of documents or to restrict re-use beyond the limits set by this Directive.</w:t>
            </w:r>
          </w:p>
        </w:tc>
        <w:tc>
          <w:tcPr>
            <w:tcW w:w="324" w:type="pct"/>
            <w:tcBorders>
              <w:top w:val="single" w:sz="4" w:space="0" w:color="auto"/>
              <w:left w:val="single" w:sz="4" w:space="0" w:color="auto"/>
              <w:bottom w:val="single" w:sz="4" w:space="0" w:color="auto"/>
              <w:right w:val="single" w:sz="4" w:space="0" w:color="auto"/>
            </w:tcBorders>
          </w:tcPr>
          <w:p w14:paraId="20284B2C"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44D898F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4472497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НП</w:t>
            </w:r>
          </w:p>
        </w:tc>
        <w:tc>
          <w:tcPr>
            <w:tcW w:w="599" w:type="pct"/>
            <w:gridSpan w:val="2"/>
            <w:tcBorders>
              <w:top w:val="single" w:sz="4" w:space="0" w:color="auto"/>
              <w:left w:val="single" w:sz="4" w:space="0" w:color="auto"/>
              <w:bottom w:val="single" w:sz="4" w:space="0" w:color="auto"/>
              <w:right w:val="single" w:sz="4" w:space="0" w:color="auto"/>
            </w:tcBorders>
          </w:tcPr>
          <w:p w14:paraId="6F78A04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Није примењиво јер овај члан/став/тачка утврђује везу са чланом 7. Директиве 96/9/ЕК</w:t>
            </w:r>
          </w:p>
        </w:tc>
        <w:tc>
          <w:tcPr>
            <w:tcW w:w="513" w:type="pct"/>
            <w:tcBorders>
              <w:top w:val="single" w:sz="4" w:space="0" w:color="auto"/>
              <w:left w:val="single" w:sz="4" w:space="0" w:color="auto"/>
              <w:bottom w:val="single" w:sz="4" w:space="0" w:color="auto"/>
              <w:right w:val="single" w:sz="4" w:space="0" w:color="auto"/>
            </w:tcBorders>
          </w:tcPr>
          <w:p w14:paraId="01AAE73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147608C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24B29A88"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6F0CF684" w14:textId="77777777" w:rsidR="008F0CED" w:rsidRPr="008F0CED" w:rsidRDefault="008F0CED" w:rsidP="00194F95">
            <w:pPr>
              <w:numPr>
                <w:ilvl w:val="1"/>
                <w:numId w:val="10"/>
              </w:numPr>
              <w:tabs>
                <w:tab w:val="left" w:pos="2835"/>
              </w:tabs>
              <w:spacing w:before="120" w:after="120" w:line="240" w:lineRule="auto"/>
              <w:contextualSpacing/>
              <w:jc w:val="both"/>
              <w:rPr>
                <w:rFonts w:ascii="Times New Roman" w:hAnsi="Times New Roman" w:cs="Times New Roman"/>
                <w:sz w:val="20"/>
                <w:szCs w:val="20"/>
                <w:lang w:val="en-GB" w:eastAsia="en-GB"/>
              </w:rPr>
            </w:pPr>
          </w:p>
        </w:tc>
        <w:tc>
          <w:tcPr>
            <w:tcW w:w="945" w:type="pct"/>
            <w:tcBorders>
              <w:top w:val="single" w:sz="4" w:space="0" w:color="auto"/>
              <w:left w:val="single" w:sz="4" w:space="0" w:color="auto"/>
              <w:bottom w:val="single" w:sz="4" w:space="0" w:color="auto"/>
              <w:right w:val="single" w:sz="4" w:space="0" w:color="auto"/>
            </w:tcBorders>
          </w:tcPr>
          <w:p w14:paraId="5F5A16D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7.This Directive governs the re-use of existing documents held by public sector bodies and public undertakings of the Member States, including documents to which Directive 2007/2/EC applies.</w:t>
            </w:r>
          </w:p>
        </w:tc>
        <w:tc>
          <w:tcPr>
            <w:tcW w:w="324" w:type="pct"/>
            <w:tcBorders>
              <w:top w:val="single" w:sz="4" w:space="0" w:color="auto"/>
              <w:left w:val="single" w:sz="4" w:space="0" w:color="auto"/>
              <w:bottom w:val="single" w:sz="4" w:space="0" w:color="auto"/>
              <w:right w:val="single" w:sz="4" w:space="0" w:color="auto"/>
            </w:tcBorders>
          </w:tcPr>
          <w:p w14:paraId="1E2C38AA"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21868875"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412DBAE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12683E49"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442A2E7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2146658D"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Приступ и поновна употреба геопросторних података у оквиру Националне инфраструктуре геопросторних података, а у режиму отворених података, укључујући податке високе вредности ће бити уређена посебним законом (Закон о изменама и допунама Закона о НУГП) до краја 2025. године.</w:t>
            </w:r>
          </w:p>
        </w:tc>
      </w:tr>
      <w:tr w:rsidR="008F0CED" w:rsidRPr="008F0CED" w14:paraId="3360ABB4"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72DF11B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2.1</w:t>
            </w:r>
          </w:p>
        </w:tc>
        <w:tc>
          <w:tcPr>
            <w:tcW w:w="945" w:type="pct"/>
            <w:tcBorders>
              <w:top w:val="single" w:sz="4" w:space="0" w:color="auto"/>
              <w:left w:val="single" w:sz="4" w:space="0" w:color="auto"/>
              <w:bottom w:val="single" w:sz="4" w:space="0" w:color="auto"/>
              <w:right w:val="single" w:sz="4" w:space="0" w:color="auto"/>
            </w:tcBorders>
          </w:tcPr>
          <w:p w14:paraId="72B8AB05"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For the purpose of this Directive, the following definitions apply:</w:t>
            </w:r>
          </w:p>
        </w:tc>
        <w:tc>
          <w:tcPr>
            <w:tcW w:w="324" w:type="pct"/>
            <w:tcBorders>
              <w:top w:val="single" w:sz="4" w:space="0" w:color="auto"/>
              <w:left w:val="single" w:sz="4" w:space="0" w:color="auto"/>
              <w:bottom w:val="single" w:sz="4" w:space="0" w:color="auto"/>
              <w:right w:val="single" w:sz="4" w:space="0" w:color="auto"/>
            </w:tcBorders>
          </w:tcPr>
          <w:p w14:paraId="3185C88B"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746B3B5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50D1217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НП</w:t>
            </w:r>
          </w:p>
        </w:tc>
        <w:tc>
          <w:tcPr>
            <w:tcW w:w="599" w:type="pct"/>
            <w:gridSpan w:val="2"/>
            <w:tcBorders>
              <w:top w:val="single" w:sz="4" w:space="0" w:color="auto"/>
              <w:left w:val="single" w:sz="4" w:space="0" w:color="auto"/>
              <w:bottom w:val="single" w:sz="4" w:space="0" w:color="auto"/>
              <w:right w:val="single" w:sz="4" w:space="0" w:color="auto"/>
            </w:tcBorders>
          </w:tcPr>
          <w:p w14:paraId="01FDEBEA"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Није примењиво јер овај члан/став/тачка не намеће обавезу усаглашености.</w:t>
            </w:r>
          </w:p>
        </w:tc>
        <w:tc>
          <w:tcPr>
            <w:tcW w:w="513" w:type="pct"/>
            <w:tcBorders>
              <w:top w:val="single" w:sz="4" w:space="0" w:color="auto"/>
              <w:left w:val="single" w:sz="4" w:space="0" w:color="auto"/>
              <w:bottom w:val="single" w:sz="4" w:space="0" w:color="auto"/>
              <w:right w:val="single" w:sz="4" w:space="0" w:color="auto"/>
            </w:tcBorders>
          </w:tcPr>
          <w:p w14:paraId="0550120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6BD05BD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273FD731"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EA7EA2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2.1. 1)</w:t>
            </w:r>
          </w:p>
        </w:tc>
        <w:tc>
          <w:tcPr>
            <w:tcW w:w="945" w:type="pct"/>
            <w:tcBorders>
              <w:top w:val="single" w:sz="4" w:space="0" w:color="auto"/>
              <w:left w:val="single" w:sz="4" w:space="0" w:color="auto"/>
              <w:bottom w:val="single" w:sz="4" w:space="0" w:color="auto"/>
              <w:right w:val="single" w:sz="4" w:space="0" w:color="auto"/>
            </w:tcBorders>
          </w:tcPr>
          <w:p w14:paraId="2ACE211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 ‘public sector body’ means the State, regional or local authorities, bodies governed by public law or associations formed by one or more such authorities or one or more such bodies governed by public law;</w:t>
            </w:r>
          </w:p>
        </w:tc>
        <w:tc>
          <w:tcPr>
            <w:tcW w:w="324" w:type="pct"/>
            <w:tcBorders>
              <w:top w:val="single" w:sz="4" w:space="0" w:color="auto"/>
              <w:left w:val="single" w:sz="4" w:space="0" w:color="auto"/>
              <w:bottom w:val="single" w:sz="4" w:space="0" w:color="auto"/>
              <w:right w:val="single" w:sz="4" w:space="0" w:color="auto"/>
            </w:tcBorders>
          </w:tcPr>
          <w:p w14:paraId="40D7A002" w14:textId="77777777" w:rsidR="008F0CED" w:rsidRPr="008F0CED" w:rsidRDefault="008F0CED" w:rsidP="008F0CED">
            <w:pPr>
              <w:tabs>
                <w:tab w:val="left" w:pos="2835"/>
              </w:tabs>
              <w:spacing w:before="120" w:after="120" w:line="240" w:lineRule="auto"/>
              <w:ind w:firstLine="5"/>
              <w:jc w:val="both"/>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2B2238DB"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Public authority (hereinafter</w:t>
            </w:r>
          </w:p>
          <w:p w14:paraId="5AEBF20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 public authority) in the sense of this law is:</w:t>
            </w:r>
          </w:p>
          <w:p w14:paraId="28B04FBB"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 body of the Republic of Serbia;</w:t>
            </w:r>
          </w:p>
          <w:p w14:paraId="0EEF8F5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 the body of the autonomous province;</w:t>
            </w:r>
          </w:p>
          <w:p w14:paraId="175A4D8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3) body of the municipality, city, city municipality and the city of Belgrade;</w:t>
            </w:r>
          </w:p>
          <w:p w14:paraId="7E5DF15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 public enterprise, institution, organization and other legal entity, which is established by a regulation or decision of the body from</w:t>
            </w:r>
          </w:p>
          <w:p w14:paraId="7501602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touch 1) to 3) of this paragraph;</w:t>
            </w:r>
          </w:p>
        </w:tc>
        <w:tc>
          <w:tcPr>
            <w:tcW w:w="442" w:type="pct"/>
            <w:tcBorders>
              <w:top w:val="single" w:sz="4" w:space="0" w:color="auto"/>
              <w:left w:val="single" w:sz="4" w:space="0" w:color="auto"/>
              <w:bottom w:val="single" w:sz="4" w:space="0" w:color="auto"/>
              <w:right w:val="single" w:sz="4" w:space="0" w:color="auto"/>
            </w:tcBorders>
          </w:tcPr>
          <w:p w14:paraId="50D2198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2729F86E"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У складу са посебним законом су одређене дефиниције органа.</w:t>
            </w:r>
          </w:p>
        </w:tc>
        <w:tc>
          <w:tcPr>
            <w:tcW w:w="513" w:type="pct"/>
            <w:tcBorders>
              <w:top w:val="single" w:sz="4" w:space="0" w:color="auto"/>
              <w:left w:val="single" w:sz="4" w:space="0" w:color="auto"/>
              <w:bottom w:val="single" w:sz="4" w:space="0" w:color="auto"/>
              <w:right w:val="single" w:sz="4" w:space="0" w:color="auto"/>
            </w:tcBorders>
          </w:tcPr>
          <w:p w14:paraId="102C6A2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12F0497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29F15B7D"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572F2EA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2.1. 2)</w:t>
            </w:r>
          </w:p>
        </w:tc>
        <w:tc>
          <w:tcPr>
            <w:tcW w:w="945" w:type="pct"/>
            <w:tcBorders>
              <w:top w:val="single" w:sz="4" w:space="0" w:color="auto"/>
              <w:left w:val="single" w:sz="4" w:space="0" w:color="auto"/>
              <w:bottom w:val="single" w:sz="4" w:space="0" w:color="auto"/>
              <w:right w:val="single" w:sz="4" w:space="0" w:color="auto"/>
            </w:tcBorders>
          </w:tcPr>
          <w:p w14:paraId="481E34FB"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 ‘bodies governed by public law’ means bodies that have all of the following characteristics:</w:t>
            </w:r>
          </w:p>
          <w:p w14:paraId="49E3596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(a) they are established for the specific purpose of meeting needs in the general interest, not having an industrial or commercial character;</w:t>
            </w:r>
          </w:p>
          <w:p w14:paraId="31E889B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(b) they have legal personality; and</w:t>
            </w:r>
          </w:p>
          <w:p w14:paraId="40F758F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(c) they are financed, for the most part by the State, regional or local authorities, or by other bodies governed by public law; or are subject to management supervision by those authorities or bodies; or have an administrative, managerial or supervisory board, more than half of whose members are appointed by the State, regional or local authorities, or by other bodies governed by public law;</w:t>
            </w:r>
          </w:p>
        </w:tc>
        <w:tc>
          <w:tcPr>
            <w:tcW w:w="324" w:type="pct"/>
            <w:tcBorders>
              <w:top w:val="single" w:sz="4" w:space="0" w:color="auto"/>
              <w:left w:val="single" w:sz="4" w:space="0" w:color="auto"/>
              <w:bottom w:val="single" w:sz="4" w:space="0" w:color="auto"/>
              <w:right w:val="single" w:sz="4" w:space="0" w:color="auto"/>
            </w:tcBorders>
          </w:tcPr>
          <w:p w14:paraId="6C1DCE4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4E7E867A"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Public authority (hereinafter</w:t>
            </w:r>
          </w:p>
          <w:p w14:paraId="66F9E1B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 public authority) in the sense of this law is:</w:t>
            </w:r>
          </w:p>
          <w:p w14:paraId="1B54284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 body of the Republic of Serbia;</w:t>
            </w:r>
          </w:p>
          <w:p w14:paraId="069B0C7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 the body of the autonomous province;</w:t>
            </w:r>
          </w:p>
          <w:p w14:paraId="053AA3DA"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3) body of the municipality, city, city municipality and the city of Belgrade;</w:t>
            </w:r>
          </w:p>
          <w:p w14:paraId="35AC9B8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 public enterprise, institution, organization and other legal entity, which is established by a regulation or decision of the body from</w:t>
            </w:r>
          </w:p>
          <w:p w14:paraId="39D6EF1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touch 1) to 3) of this paragraph;</w:t>
            </w:r>
          </w:p>
          <w:p w14:paraId="059E5065"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5) a company whose founder or member is the Republic of Serbia, an autonomous province, a local unit</w:t>
            </w:r>
          </w:p>
          <w:p w14:paraId="257EF7C7"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roofErr w:type="gramStart"/>
            <w:r w:rsidRPr="008F0CED">
              <w:rPr>
                <w:rFonts w:ascii="Times New Roman" w:hAnsi="Times New Roman" w:cs="Times New Roman"/>
                <w:sz w:val="20"/>
                <w:szCs w:val="20"/>
                <w:lang w:val="en-GB" w:eastAsia="en-GB"/>
              </w:rPr>
              <w:t>self-government</w:t>
            </w:r>
            <w:proofErr w:type="gram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ie</w:t>
            </w:r>
            <w:proofErr w:type="spellEnd"/>
            <w:r w:rsidRPr="008F0CED">
              <w:rPr>
                <w:rFonts w:ascii="Times New Roman" w:hAnsi="Times New Roman" w:cs="Times New Roman"/>
                <w:sz w:val="20"/>
                <w:szCs w:val="20"/>
                <w:lang w:val="en-GB" w:eastAsia="en-GB"/>
              </w:rPr>
              <w:t xml:space="preserve"> one or more authorities from point. 1) to 4) of this paragraph with 50% or more of shares or stakes in</w:t>
            </w:r>
          </w:p>
          <w:p w14:paraId="12F452E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sum or with more than half of the members of the governing body;</w:t>
            </w:r>
          </w:p>
          <w:p w14:paraId="421D37F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6) a company whose founder or member is one or more authorities from point. 1) to 5) of this paragraph with 50% or</w:t>
            </w:r>
            <w:r w:rsidRPr="008F0CED">
              <w:rPr>
                <w:rFonts w:ascii="Times New Roman" w:hAnsi="Times New Roman" w:cs="Times New Roman"/>
                <w:sz w:val="20"/>
                <w:szCs w:val="20"/>
                <w:lang w:val="sr-Cyrl-RS" w:eastAsia="en-GB"/>
              </w:rPr>
              <w:t xml:space="preserve"> </w:t>
            </w:r>
            <w:r w:rsidRPr="008F0CED">
              <w:rPr>
                <w:rFonts w:ascii="Times New Roman" w:hAnsi="Times New Roman" w:cs="Times New Roman"/>
                <w:sz w:val="20"/>
                <w:szCs w:val="20"/>
                <w:lang w:val="en-GB" w:eastAsia="en-GB"/>
              </w:rPr>
              <w:t>multiple shares or stakes in the sum;</w:t>
            </w:r>
          </w:p>
          <w:p w14:paraId="75F7F216"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7) a legal entity whose founder is a company from item 5) or 6) of this paragraph;</w:t>
            </w:r>
          </w:p>
          <w:p w14:paraId="440F388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8) a legal entity or an entrepreneur who performs activities of general interest, in terms of the law governing it</w:t>
            </w:r>
          </w:p>
          <w:p w14:paraId="16F809FB"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the position of public enterprises, in relation to information related to the performance of these activities;</w:t>
            </w:r>
          </w:p>
          <w:p w14:paraId="44A3967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9) a legal or natural person who has public authority, in relation to information related to the performance of such</w:t>
            </w:r>
            <w:r w:rsidRPr="008F0CED">
              <w:rPr>
                <w:rFonts w:ascii="Times New Roman" w:hAnsi="Times New Roman" w:cs="Times New Roman"/>
                <w:sz w:val="20"/>
                <w:szCs w:val="20"/>
                <w:lang w:val="sr-Cyrl-RS" w:eastAsia="en-GB"/>
              </w:rPr>
              <w:t xml:space="preserve"> </w:t>
            </w:r>
            <w:r w:rsidRPr="008F0CED">
              <w:rPr>
                <w:rFonts w:ascii="Times New Roman" w:hAnsi="Times New Roman" w:cs="Times New Roman"/>
                <w:sz w:val="20"/>
                <w:szCs w:val="20"/>
                <w:lang w:val="en-GB" w:eastAsia="en-GB"/>
              </w:rPr>
              <w:t>authorizations;</w:t>
            </w:r>
          </w:p>
          <w:p w14:paraId="52D0E4A5"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10) a legal entity that has generated more than 50% of the income from one in the year to which the requested information relates</w:t>
            </w:r>
          </w:p>
          <w:p w14:paraId="32E0605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or more authorities from point. 1) to 7) of this paragraph, in relation to information related to the activity that is</w:t>
            </w:r>
          </w:p>
          <w:p w14:paraId="64DDA22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finances these revenues, except for churches and religious communities.</w:t>
            </w:r>
          </w:p>
        </w:tc>
        <w:tc>
          <w:tcPr>
            <w:tcW w:w="442" w:type="pct"/>
            <w:tcBorders>
              <w:top w:val="single" w:sz="4" w:space="0" w:color="auto"/>
              <w:left w:val="single" w:sz="4" w:space="0" w:color="auto"/>
              <w:bottom w:val="single" w:sz="4" w:space="0" w:color="auto"/>
              <w:right w:val="single" w:sz="4" w:space="0" w:color="auto"/>
            </w:tcBorders>
          </w:tcPr>
          <w:p w14:paraId="25A1BDB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48F87E6F"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У складу са посебним законом су одређене дефиниције органа.</w:t>
            </w:r>
          </w:p>
        </w:tc>
        <w:tc>
          <w:tcPr>
            <w:tcW w:w="513" w:type="pct"/>
            <w:tcBorders>
              <w:top w:val="single" w:sz="4" w:space="0" w:color="auto"/>
              <w:left w:val="single" w:sz="4" w:space="0" w:color="auto"/>
              <w:bottom w:val="single" w:sz="4" w:space="0" w:color="auto"/>
              <w:right w:val="single" w:sz="4" w:space="0" w:color="auto"/>
            </w:tcBorders>
          </w:tcPr>
          <w:p w14:paraId="0017377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15B7096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7A80F6D6"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2B4F971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2.1. 3)</w:t>
            </w:r>
          </w:p>
        </w:tc>
        <w:tc>
          <w:tcPr>
            <w:tcW w:w="945" w:type="pct"/>
            <w:tcBorders>
              <w:top w:val="single" w:sz="4" w:space="0" w:color="auto"/>
              <w:left w:val="single" w:sz="4" w:space="0" w:color="auto"/>
              <w:bottom w:val="single" w:sz="4" w:space="0" w:color="auto"/>
              <w:right w:val="single" w:sz="4" w:space="0" w:color="auto"/>
            </w:tcBorders>
          </w:tcPr>
          <w:p w14:paraId="2763CBA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(3) ‘public undertaking’ means any undertaking active in the areas set out in point (b) of Article 1(1) over which the public sector bodies may exercise directly or indirectly a dominant influence by virtue of their ownership of it, their financial participation therein, or the rules which govern it. A dominant influence on the part of the public sector bodies shall be presumed in any of the following cases in which those bodies, directly or indirectly:</w:t>
            </w:r>
          </w:p>
          <w:p w14:paraId="3A87D8D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(a) hold the majority of the undertaking's subscribed capital;</w:t>
            </w:r>
          </w:p>
          <w:p w14:paraId="0897C6B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(b) control the majority of the votes attaching to shares issued by the undertaking;</w:t>
            </w:r>
          </w:p>
          <w:p w14:paraId="41B037C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(c) can appoint more than half of the undertaking's administrative, management or supervisory body;</w:t>
            </w:r>
          </w:p>
        </w:tc>
        <w:tc>
          <w:tcPr>
            <w:tcW w:w="324" w:type="pct"/>
            <w:tcBorders>
              <w:top w:val="single" w:sz="4" w:space="0" w:color="auto"/>
              <w:left w:val="single" w:sz="4" w:space="0" w:color="auto"/>
              <w:bottom w:val="single" w:sz="4" w:space="0" w:color="auto"/>
              <w:right w:val="single" w:sz="4" w:space="0" w:color="auto"/>
            </w:tcBorders>
          </w:tcPr>
          <w:p w14:paraId="20595F9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1FB596A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14603F6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4B6C627A"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У складу са посебним законом су одређене дефиниције органа.</w:t>
            </w:r>
          </w:p>
        </w:tc>
        <w:tc>
          <w:tcPr>
            <w:tcW w:w="513" w:type="pct"/>
            <w:tcBorders>
              <w:top w:val="single" w:sz="4" w:space="0" w:color="auto"/>
              <w:left w:val="single" w:sz="4" w:space="0" w:color="auto"/>
              <w:bottom w:val="single" w:sz="4" w:space="0" w:color="auto"/>
              <w:right w:val="single" w:sz="4" w:space="0" w:color="auto"/>
            </w:tcBorders>
          </w:tcPr>
          <w:p w14:paraId="180AADE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6CBF1B2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335527BE"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408A69F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2.1. 4)</w:t>
            </w:r>
          </w:p>
        </w:tc>
        <w:tc>
          <w:tcPr>
            <w:tcW w:w="945" w:type="pct"/>
            <w:tcBorders>
              <w:top w:val="single" w:sz="4" w:space="0" w:color="auto"/>
              <w:left w:val="single" w:sz="4" w:space="0" w:color="auto"/>
              <w:bottom w:val="single" w:sz="4" w:space="0" w:color="auto"/>
              <w:right w:val="single" w:sz="4" w:space="0" w:color="auto"/>
            </w:tcBorders>
          </w:tcPr>
          <w:p w14:paraId="190F730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 ‘university’ means any public sector body that provides post-secondary-school higher education leading to academic degrees;</w:t>
            </w:r>
          </w:p>
        </w:tc>
        <w:tc>
          <w:tcPr>
            <w:tcW w:w="324" w:type="pct"/>
            <w:tcBorders>
              <w:top w:val="single" w:sz="4" w:space="0" w:color="auto"/>
              <w:left w:val="single" w:sz="4" w:space="0" w:color="auto"/>
              <w:bottom w:val="single" w:sz="4" w:space="0" w:color="auto"/>
              <w:right w:val="single" w:sz="4" w:space="0" w:color="auto"/>
            </w:tcBorders>
          </w:tcPr>
          <w:p w14:paraId="00BBE48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4339D4F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1CAD13F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36E34A5D"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У складу са посебним законом су одређене дефиниције органа.</w:t>
            </w:r>
          </w:p>
        </w:tc>
        <w:tc>
          <w:tcPr>
            <w:tcW w:w="513" w:type="pct"/>
            <w:tcBorders>
              <w:top w:val="single" w:sz="4" w:space="0" w:color="auto"/>
              <w:left w:val="single" w:sz="4" w:space="0" w:color="auto"/>
              <w:bottom w:val="single" w:sz="4" w:space="0" w:color="auto"/>
              <w:right w:val="single" w:sz="4" w:space="0" w:color="auto"/>
            </w:tcBorders>
          </w:tcPr>
          <w:p w14:paraId="48A899A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071B09D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0345FA30"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64E2650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2.1. 5)</w:t>
            </w:r>
          </w:p>
        </w:tc>
        <w:tc>
          <w:tcPr>
            <w:tcW w:w="945" w:type="pct"/>
            <w:tcBorders>
              <w:top w:val="single" w:sz="4" w:space="0" w:color="auto"/>
              <w:left w:val="single" w:sz="4" w:space="0" w:color="auto"/>
              <w:bottom w:val="single" w:sz="4" w:space="0" w:color="auto"/>
              <w:right w:val="single" w:sz="4" w:space="0" w:color="auto"/>
            </w:tcBorders>
          </w:tcPr>
          <w:p w14:paraId="5C4BE3C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(5) ‘standard licence’ means a set of predefined re-use conditions in a digital format, preferably compatible with standardised public licences available online;</w:t>
            </w:r>
          </w:p>
        </w:tc>
        <w:tc>
          <w:tcPr>
            <w:tcW w:w="324" w:type="pct"/>
            <w:tcBorders>
              <w:top w:val="single" w:sz="4" w:space="0" w:color="auto"/>
              <w:left w:val="single" w:sz="4" w:space="0" w:color="auto"/>
              <w:bottom w:val="single" w:sz="4" w:space="0" w:color="auto"/>
              <w:right w:val="single" w:sz="4" w:space="0" w:color="auto"/>
            </w:tcBorders>
          </w:tcPr>
          <w:p w14:paraId="666D9E95"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26.2.</w:t>
            </w:r>
          </w:p>
          <w:p w14:paraId="1669A5C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26.3.</w:t>
            </w:r>
          </w:p>
          <w:p w14:paraId="6E0A83F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24764493" w14:textId="77777777" w:rsidR="008F0CED" w:rsidRPr="008F0CED" w:rsidRDefault="008F0CED" w:rsidP="008F0CED">
            <w:pPr>
              <w:shd w:val="clear" w:color="auto" w:fill="FFFFFF"/>
              <w:tabs>
                <w:tab w:val="left" w:pos="2835"/>
              </w:tabs>
              <w:spacing w:after="0" w:line="240" w:lineRule="auto"/>
              <w:jc w:val="both"/>
              <w:rPr>
                <w:rFonts w:ascii="Times New Roman" w:eastAsia="Times New Roman" w:hAnsi="Times New Roman" w:cs="Times New Roman"/>
                <w:color w:val="000000" w:themeColor="text1"/>
                <w:sz w:val="20"/>
                <w:szCs w:val="20"/>
                <w:lang w:val="sr-Latn-RS" w:eastAsia="sr-Latn-RS"/>
              </w:rPr>
            </w:pPr>
            <w:r w:rsidRPr="008F0CED">
              <w:rPr>
                <w:rFonts w:ascii="Times New Roman" w:eastAsia="Times New Roman" w:hAnsi="Times New Roman" w:cs="Times New Roman"/>
                <w:color w:val="000000" w:themeColor="text1"/>
                <w:sz w:val="20"/>
                <w:szCs w:val="20"/>
                <w:lang w:val="sr-Latn-RS" w:eastAsia="sr-Latn-RS"/>
              </w:rPr>
              <w:t>Слободна лиценца омогућава слободну поновну употребу, у комерцијалне или некомерцијалне сврхе, које укључују умножавање, дистрибуцију, стављање на располагање трећим лицима, прилагођавање и повезивање са другим подацима, интегрисање у пословне процесе, производе и сервисе, измене, као и друге поновне употребе.</w:t>
            </w:r>
          </w:p>
          <w:p w14:paraId="68316FC6" w14:textId="77777777" w:rsidR="008F0CED" w:rsidRPr="008F0CED" w:rsidRDefault="008F0CED" w:rsidP="008F0CED">
            <w:pPr>
              <w:shd w:val="clear" w:color="auto" w:fill="FFFFFF"/>
              <w:tabs>
                <w:tab w:val="left" w:pos="2835"/>
              </w:tabs>
              <w:spacing w:after="0" w:line="240" w:lineRule="auto"/>
              <w:jc w:val="both"/>
              <w:rPr>
                <w:rFonts w:ascii="Times New Roman" w:eastAsia="Times New Roman" w:hAnsi="Times New Roman" w:cs="Times New Roman"/>
                <w:color w:val="333333"/>
                <w:sz w:val="20"/>
                <w:szCs w:val="20"/>
                <w:lang w:val="sr-Latn-RS" w:eastAsia="sr-Latn-RS"/>
              </w:rPr>
            </w:pPr>
            <w:r w:rsidRPr="008F0CED">
              <w:rPr>
                <w:rFonts w:ascii="Times New Roman" w:eastAsia="Times New Roman" w:hAnsi="Times New Roman" w:cs="Times New Roman"/>
                <w:color w:val="000000" w:themeColor="text1"/>
                <w:sz w:val="20"/>
                <w:szCs w:val="20"/>
                <w:lang w:val="sr-Latn-RS" w:eastAsia="sr-Latn-RS"/>
              </w:rPr>
              <w:t>Слободна лиценца обавезује на упућивање на извор података, укључујући назив органа који је податке учинио доступним за поновну употребу, датум преузимања, адресу на којој се подаци могу преузети, као и јасну ознаку свих измена, уређивања или новог дизајна преузетих података.</w:t>
            </w:r>
          </w:p>
        </w:tc>
        <w:tc>
          <w:tcPr>
            <w:tcW w:w="442" w:type="pct"/>
            <w:tcBorders>
              <w:top w:val="single" w:sz="4" w:space="0" w:color="auto"/>
              <w:left w:val="single" w:sz="4" w:space="0" w:color="auto"/>
              <w:bottom w:val="single" w:sz="4" w:space="0" w:color="auto"/>
              <w:right w:val="single" w:sz="4" w:space="0" w:color="auto"/>
            </w:tcBorders>
          </w:tcPr>
          <w:p w14:paraId="4B99FDD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6DACAF3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14CAF06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487673D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3E1465EA"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2E9BAE1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2.1. 6)</w:t>
            </w:r>
          </w:p>
        </w:tc>
        <w:tc>
          <w:tcPr>
            <w:tcW w:w="945" w:type="pct"/>
            <w:tcBorders>
              <w:top w:val="single" w:sz="4" w:space="0" w:color="auto"/>
              <w:left w:val="single" w:sz="4" w:space="0" w:color="auto"/>
              <w:bottom w:val="single" w:sz="4" w:space="0" w:color="auto"/>
              <w:right w:val="single" w:sz="4" w:space="0" w:color="auto"/>
            </w:tcBorders>
          </w:tcPr>
          <w:p w14:paraId="2571CFF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(6) ‘document’ means:</w:t>
            </w:r>
          </w:p>
          <w:p w14:paraId="1A43348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(a) any content whatever its medium (paper or electronic form or as a sound, visual or </w:t>
            </w:r>
            <w:proofErr w:type="spellStart"/>
            <w:r w:rsidRPr="008F0CED">
              <w:rPr>
                <w:rFonts w:ascii="Times New Roman" w:hAnsi="Times New Roman" w:cs="Times New Roman"/>
                <w:sz w:val="20"/>
                <w:szCs w:val="20"/>
                <w:lang w:val="en-GB" w:eastAsia="en-GB"/>
              </w:rPr>
              <w:t>audiovisual</w:t>
            </w:r>
            <w:proofErr w:type="spellEnd"/>
            <w:r w:rsidRPr="008F0CED">
              <w:rPr>
                <w:rFonts w:ascii="Times New Roman" w:hAnsi="Times New Roman" w:cs="Times New Roman"/>
                <w:sz w:val="20"/>
                <w:szCs w:val="20"/>
                <w:lang w:val="en-GB" w:eastAsia="en-GB"/>
              </w:rPr>
              <w:t xml:space="preserve"> recording); or (b) any part of such content;</w:t>
            </w:r>
          </w:p>
        </w:tc>
        <w:tc>
          <w:tcPr>
            <w:tcW w:w="324" w:type="pct"/>
            <w:tcBorders>
              <w:top w:val="single" w:sz="4" w:space="0" w:color="auto"/>
              <w:left w:val="single" w:sz="4" w:space="0" w:color="auto"/>
              <w:bottom w:val="single" w:sz="4" w:space="0" w:color="auto"/>
              <w:right w:val="single" w:sz="4" w:space="0" w:color="auto"/>
            </w:tcBorders>
          </w:tcPr>
          <w:p w14:paraId="1F421E8B"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25.3.</w:t>
            </w:r>
          </w:p>
        </w:tc>
        <w:tc>
          <w:tcPr>
            <w:tcW w:w="1231" w:type="pct"/>
            <w:tcBorders>
              <w:top w:val="single" w:sz="4" w:space="0" w:color="auto"/>
              <w:left w:val="single" w:sz="4" w:space="0" w:color="auto"/>
              <w:bottom w:val="single" w:sz="4" w:space="0" w:color="auto"/>
              <w:right w:val="single" w:sz="4" w:space="0" w:color="auto"/>
            </w:tcBorders>
          </w:tcPr>
          <w:p w14:paraId="469A80A1" w14:textId="77777777" w:rsidR="008F0CED" w:rsidRPr="008F0CED" w:rsidRDefault="008F0CED" w:rsidP="008F0CED">
            <w:pPr>
              <w:shd w:val="clear" w:color="auto" w:fill="FFFFFF"/>
              <w:tabs>
                <w:tab w:val="left" w:pos="2835"/>
              </w:tabs>
              <w:spacing w:after="0" w:line="240" w:lineRule="auto"/>
              <w:jc w:val="both"/>
              <w:rPr>
                <w:rFonts w:ascii="Times New Roman" w:eastAsia="Times New Roman" w:hAnsi="Times New Roman" w:cs="Times New Roman"/>
                <w:color w:val="000000" w:themeColor="text1"/>
                <w:sz w:val="20"/>
                <w:szCs w:val="20"/>
                <w:lang w:val="sr-Latn-RS" w:eastAsia="sr-Latn-RS"/>
              </w:rPr>
            </w:pPr>
            <w:r w:rsidRPr="008F0CED">
              <w:rPr>
                <w:rFonts w:ascii="Times New Roman" w:eastAsia="Times New Roman" w:hAnsi="Times New Roman" w:cs="Times New Roman"/>
                <w:color w:val="000000" w:themeColor="text1"/>
                <w:sz w:val="20"/>
                <w:szCs w:val="20"/>
                <w:lang w:val="sr-Latn-RS" w:eastAsia="sr-Latn-RS"/>
              </w:rPr>
              <w:t xml:space="preserve">Податак из става 1. овог члана подразумева  било који запис или његов део без обзира на облик (папирни или електронски). </w:t>
            </w:r>
          </w:p>
          <w:p w14:paraId="30457AE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7489B92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6290EBF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6CB8C0E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06CE941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67632485"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2F968BE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2.1. 7)</w:t>
            </w:r>
          </w:p>
        </w:tc>
        <w:tc>
          <w:tcPr>
            <w:tcW w:w="945" w:type="pct"/>
            <w:tcBorders>
              <w:top w:val="single" w:sz="4" w:space="0" w:color="auto"/>
              <w:left w:val="single" w:sz="4" w:space="0" w:color="auto"/>
              <w:bottom w:val="single" w:sz="4" w:space="0" w:color="auto"/>
              <w:right w:val="single" w:sz="4" w:space="0" w:color="auto"/>
            </w:tcBorders>
          </w:tcPr>
          <w:p w14:paraId="3D81610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(7) ‘anonymisation’ means the process of changing documents into anonymous documents which do not relate to an identified or identifiable natural person, or the process of rendering personal data anonymous in such a manner that the data subject is not or no longer identifiable;</w:t>
            </w:r>
          </w:p>
        </w:tc>
        <w:tc>
          <w:tcPr>
            <w:tcW w:w="324" w:type="pct"/>
            <w:tcBorders>
              <w:top w:val="single" w:sz="4" w:space="0" w:color="auto"/>
              <w:left w:val="single" w:sz="4" w:space="0" w:color="auto"/>
              <w:bottom w:val="single" w:sz="4" w:space="0" w:color="auto"/>
              <w:right w:val="single" w:sz="4" w:space="0" w:color="auto"/>
            </w:tcBorders>
          </w:tcPr>
          <w:p w14:paraId="2775048B"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4.1)</w:t>
            </w:r>
          </w:p>
        </w:tc>
        <w:tc>
          <w:tcPr>
            <w:tcW w:w="1231" w:type="pct"/>
            <w:tcBorders>
              <w:top w:val="single" w:sz="4" w:space="0" w:color="auto"/>
              <w:left w:val="single" w:sz="4" w:space="0" w:color="auto"/>
              <w:bottom w:val="single" w:sz="4" w:space="0" w:color="auto"/>
              <w:right w:val="single" w:sz="4" w:space="0" w:color="auto"/>
            </w:tcBorders>
          </w:tcPr>
          <w:p w14:paraId="4F3C13A6" w14:textId="77777777" w:rsidR="008F0CED" w:rsidRPr="008F0CED" w:rsidRDefault="008F0CED" w:rsidP="008F0CED">
            <w:pPr>
              <w:shd w:val="clear" w:color="auto" w:fill="FFFFFF"/>
              <w:tabs>
                <w:tab w:val="left" w:pos="2835"/>
              </w:tabs>
              <w:spacing w:after="0" w:line="240" w:lineRule="auto"/>
              <w:jc w:val="both"/>
              <w:rPr>
                <w:rFonts w:ascii="Times New Roman" w:eastAsia="Times New Roman" w:hAnsi="Times New Roman" w:cs="Times New Roman"/>
                <w:color w:val="000000" w:themeColor="text1"/>
                <w:sz w:val="24"/>
                <w:szCs w:val="24"/>
                <w:lang w:val="sr-Latn-RS" w:eastAsia="sr-Latn-RS"/>
              </w:rPr>
            </w:pPr>
            <w:r w:rsidRPr="008F0CED">
              <w:rPr>
                <w:rFonts w:ascii="Times New Roman" w:eastAsia="Times New Roman" w:hAnsi="Times New Roman" w:cs="Times New Roman"/>
                <w:color w:val="000000" w:themeColor="text1"/>
                <w:sz w:val="20"/>
                <w:szCs w:val="20"/>
                <w:lang w:val="sr-Cyrl-RS" w:eastAsia="sr-Latn-RS"/>
              </w:rPr>
              <w:t>А</w:t>
            </w:r>
            <w:r w:rsidRPr="008F0CED">
              <w:rPr>
                <w:rFonts w:ascii="Times New Roman" w:eastAsia="Times New Roman" w:hAnsi="Times New Roman" w:cs="Times New Roman"/>
                <w:color w:val="000000" w:themeColor="text1"/>
                <w:sz w:val="20"/>
                <w:szCs w:val="20"/>
                <w:lang w:val="sr-Latn-RS" w:eastAsia="sr-Latn-RS"/>
              </w:rPr>
              <w:t>НОНИМИЗАЦИЈА ЈЕ НЕПОВРАТАН ПРЕКИД ВЕЗА ИЗМЕЂУ ПОДАТАКА И ИДЕНТИТЕТА ЛИЦА НА КОЈИ СЕ ТИ ПОДАЦИ ОДНОСЕ, ПРИ ЧЕМУ АНОНИМИЗОВАНИ ПОДАЦИ НИСУ ПОДАЦИ О ЛИЧНОСТИ;</w:t>
            </w:r>
          </w:p>
          <w:p w14:paraId="4ECAA84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4FA5EDD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2BA1AF8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74D80C9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1F67ACF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03B44061"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617CE34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2.1. 8)</w:t>
            </w:r>
          </w:p>
        </w:tc>
        <w:tc>
          <w:tcPr>
            <w:tcW w:w="945" w:type="pct"/>
            <w:tcBorders>
              <w:top w:val="single" w:sz="4" w:space="0" w:color="auto"/>
              <w:left w:val="single" w:sz="4" w:space="0" w:color="auto"/>
              <w:bottom w:val="single" w:sz="4" w:space="0" w:color="auto"/>
              <w:right w:val="single" w:sz="4" w:space="0" w:color="auto"/>
            </w:tcBorders>
          </w:tcPr>
          <w:p w14:paraId="0F27CFE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8) ‘dynamic data’ means documents in a digital form, subject to frequent or real-time updates, in particular because of their volatility or rapid obsolescence; data generated by sensors are typically considered to be dynamic data;</w:t>
            </w:r>
          </w:p>
        </w:tc>
        <w:tc>
          <w:tcPr>
            <w:tcW w:w="324" w:type="pct"/>
            <w:tcBorders>
              <w:top w:val="single" w:sz="4" w:space="0" w:color="auto"/>
              <w:left w:val="single" w:sz="4" w:space="0" w:color="auto"/>
              <w:bottom w:val="single" w:sz="4" w:space="0" w:color="auto"/>
              <w:right w:val="single" w:sz="4" w:space="0" w:color="auto"/>
            </w:tcBorders>
          </w:tcPr>
          <w:p w14:paraId="05603BE6"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4.6)</w:t>
            </w:r>
          </w:p>
        </w:tc>
        <w:tc>
          <w:tcPr>
            <w:tcW w:w="1231" w:type="pct"/>
            <w:tcBorders>
              <w:top w:val="single" w:sz="4" w:space="0" w:color="auto"/>
              <w:left w:val="single" w:sz="4" w:space="0" w:color="auto"/>
              <w:bottom w:val="single" w:sz="4" w:space="0" w:color="auto"/>
              <w:right w:val="single" w:sz="4" w:space="0" w:color="auto"/>
            </w:tcBorders>
          </w:tcPr>
          <w:p w14:paraId="57E68BA5" w14:textId="77777777" w:rsidR="008F0CED" w:rsidRPr="008F0CED" w:rsidRDefault="008F0CED" w:rsidP="008F0CED">
            <w:pPr>
              <w:tabs>
                <w:tab w:val="left" w:pos="2835"/>
              </w:tabs>
              <w:spacing w:after="0" w:line="240" w:lineRule="auto"/>
              <w:rPr>
                <w:rFonts w:ascii="Calibri" w:hAnsi="Calibri" w:cs="Calibri"/>
                <w:color w:val="333333"/>
                <w:sz w:val="20"/>
                <w:szCs w:val="20"/>
                <w:lang w:val="sr-Cyrl-RS" w:eastAsia="en-GB"/>
              </w:rPr>
            </w:pPr>
            <w:r w:rsidRPr="008F0CED">
              <w:rPr>
                <w:rFonts w:ascii="Times New Roman" w:hAnsi="Times New Roman" w:cs="Times New Roman"/>
                <w:sz w:val="20"/>
                <w:szCs w:val="20"/>
                <w:lang w:val="sr-Cyrl-RS" w:eastAsia="en-GB"/>
              </w:rPr>
              <w:t>Д</w:t>
            </w:r>
            <w:r w:rsidRPr="008F0CED">
              <w:rPr>
                <w:rFonts w:ascii="Times New Roman" w:hAnsi="Times New Roman" w:cs="Times New Roman"/>
                <w:sz w:val="20"/>
                <w:szCs w:val="20"/>
                <w:lang w:val="en-GB" w:eastAsia="en-GB"/>
              </w:rPr>
              <w:t xml:space="preserve">ИНАМИЧКИ ПОДАЦИ СУ ПОДАЦИ КОЈИ СЕ ЗБОГ СВОЈЕ ПРИРОДЕ УЧЕСТАЛО МЕЊАЈУ И АЖУРИРАЈУ У РЕАЛНОМ ВРЕМЕНУ </w:t>
            </w:r>
            <w:r w:rsidRPr="008F0CED">
              <w:rPr>
                <w:rFonts w:ascii="Times New Roman" w:hAnsi="Times New Roman" w:cs="Times New Roman"/>
                <w:sz w:val="20"/>
                <w:szCs w:val="20"/>
                <w:lang w:val="sr-Cyrl-RS" w:eastAsia="en-GB"/>
              </w:rPr>
              <w:t xml:space="preserve">ЗБОГ </w:t>
            </w:r>
            <w:r w:rsidRPr="008F0CED">
              <w:rPr>
                <w:rFonts w:ascii="Times New Roman" w:hAnsi="Times New Roman" w:cs="Times New Roman"/>
                <w:sz w:val="20"/>
                <w:szCs w:val="20"/>
                <w:lang w:val="en-GB" w:eastAsia="en-GB"/>
              </w:rPr>
              <w:t>БРЗОГ ЗАСТАРЕВАЊА;</w:t>
            </w:r>
          </w:p>
        </w:tc>
        <w:tc>
          <w:tcPr>
            <w:tcW w:w="442" w:type="pct"/>
            <w:tcBorders>
              <w:top w:val="single" w:sz="4" w:space="0" w:color="auto"/>
              <w:left w:val="single" w:sz="4" w:space="0" w:color="auto"/>
              <w:bottom w:val="single" w:sz="4" w:space="0" w:color="auto"/>
              <w:right w:val="single" w:sz="4" w:space="0" w:color="auto"/>
            </w:tcBorders>
          </w:tcPr>
          <w:p w14:paraId="42880F69"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78C3FA2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116056D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37EFC06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7B78A353"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3516755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2.1. 9)</w:t>
            </w:r>
          </w:p>
        </w:tc>
        <w:tc>
          <w:tcPr>
            <w:tcW w:w="945" w:type="pct"/>
            <w:tcBorders>
              <w:top w:val="single" w:sz="4" w:space="0" w:color="auto"/>
              <w:left w:val="single" w:sz="4" w:space="0" w:color="auto"/>
              <w:bottom w:val="single" w:sz="4" w:space="0" w:color="auto"/>
              <w:right w:val="single" w:sz="4" w:space="0" w:color="auto"/>
            </w:tcBorders>
          </w:tcPr>
          <w:p w14:paraId="39A196D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(9) ‘research data’ means documents in a digital form, other than scientific publications, which are collected or produced in the course of scientific research activities and are used as evidence in the research process, or are commonly accepted in the research community as necessary to validate research findings and results;</w:t>
            </w:r>
          </w:p>
        </w:tc>
        <w:tc>
          <w:tcPr>
            <w:tcW w:w="324" w:type="pct"/>
            <w:tcBorders>
              <w:top w:val="single" w:sz="4" w:space="0" w:color="auto"/>
              <w:left w:val="single" w:sz="4" w:space="0" w:color="auto"/>
              <w:bottom w:val="single" w:sz="4" w:space="0" w:color="auto"/>
              <w:right w:val="single" w:sz="4" w:space="0" w:color="auto"/>
            </w:tcBorders>
          </w:tcPr>
          <w:p w14:paraId="07240A47"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4. 16)</w:t>
            </w:r>
          </w:p>
        </w:tc>
        <w:tc>
          <w:tcPr>
            <w:tcW w:w="1231" w:type="pct"/>
            <w:tcBorders>
              <w:top w:val="single" w:sz="4" w:space="0" w:color="auto"/>
              <w:left w:val="single" w:sz="4" w:space="0" w:color="auto"/>
              <w:bottom w:val="single" w:sz="4" w:space="0" w:color="auto"/>
              <w:right w:val="single" w:sz="4" w:space="0" w:color="auto"/>
            </w:tcBorders>
          </w:tcPr>
          <w:p w14:paraId="0CAAEF4F"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И</w:t>
            </w:r>
            <w:r w:rsidRPr="008F0CED">
              <w:rPr>
                <w:rFonts w:ascii="Times New Roman" w:hAnsi="Times New Roman" w:cs="Times New Roman"/>
                <w:sz w:val="20"/>
                <w:szCs w:val="20"/>
                <w:lang w:val="en-GB" w:eastAsia="en-GB"/>
              </w:rPr>
              <w:t xml:space="preserve">СТРАЖИВАЧКИ ПОДАЦИ СУ </w:t>
            </w:r>
            <w:r w:rsidRPr="008F0CED">
              <w:rPr>
                <w:rFonts w:ascii="Times New Roman" w:hAnsi="Times New Roman" w:cs="Times New Roman"/>
                <w:sz w:val="20"/>
                <w:szCs w:val="20"/>
                <w:lang w:val="sr-Cyrl-RS" w:eastAsia="en-GB"/>
              </w:rPr>
              <w:t>ПРИКУПЉЕНИ ИЛИ НАСТАЛИ У НАУЧНО-ИСТРАЖИВАЧКОМ РАДУ И КОЈИ СЕ УПОТРЕБЉАВАЈУ КАО ДОКАЗИ У ИСТРАЖИВАЧКОМ ПРОЦЕСУ ИЛИ ИХ ИСТРАЖИВАЧКА ЗАЈЕДНИЦА КОРИСТИ ЗА ПРОВЕРУ ИСТРАЖИВАЧКИХ НАЛАЗА И РЕЗУЛТАТА.</w:t>
            </w:r>
          </w:p>
        </w:tc>
        <w:tc>
          <w:tcPr>
            <w:tcW w:w="442" w:type="pct"/>
            <w:tcBorders>
              <w:top w:val="single" w:sz="4" w:space="0" w:color="auto"/>
              <w:left w:val="single" w:sz="4" w:space="0" w:color="auto"/>
              <w:bottom w:val="single" w:sz="4" w:space="0" w:color="auto"/>
              <w:right w:val="single" w:sz="4" w:space="0" w:color="auto"/>
            </w:tcBorders>
          </w:tcPr>
          <w:p w14:paraId="14AB4EF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0B00319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217B56F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13C4AEF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0E7712CE"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5E1E9B7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2.1. 10)</w:t>
            </w:r>
          </w:p>
        </w:tc>
        <w:tc>
          <w:tcPr>
            <w:tcW w:w="945" w:type="pct"/>
            <w:tcBorders>
              <w:top w:val="single" w:sz="4" w:space="0" w:color="auto"/>
              <w:left w:val="single" w:sz="4" w:space="0" w:color="auto"/>
              <w:bottom w:val="single" w:sz="4" w:space="0" w:color="auto"/>
              <w:right w:val="single" w:sz="4" w:space="0" w:color="auto"/>
            </w:tcBorders>
          </w:tcPr>
          <w:p w14:paraId="573E144B"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(10) ‘high-value </w:t>
            </w:r>
            <w:proofErr w:type="spellStart"/>
            <w:r w:rsidRPr="008F0CED">
              <w:rPr>
                <w:rFonts w:ascii="Times New Roman" w:hAnsi="Times New Roman" w:cs="Times New Roman"/>
                <w:sz w:val="20"/>
                <w:szCs w:val="20"/>
                <w:lang w:val="en-GB" w:eastAsia="en-GB"/>
              </w:rPr>
              <w:t>datasets’</w:t>
            </w:r>
            <w:proofErr w:type="spellEnd"/>
            <w:r w:rsidRPr="008F0CED">
              <w:rPr>
                <w:rFonts w:ascii="Times New Roman" w:hAnsi="Times New Roman" w:cs="Times New Roman"/>
                <w:sz w:val="20"/>
                <w:szCs w:val="20"/>
                <w:lang w:val="en-GB" w:eastAsia="en-GB"/>
              </w:rPr>
              <w:t xml:space="preserve"> means documents the re-use of which is associated with important benefits for society, the environment and the economy, in particular because of their suitability for the creation of value-added services, applications and new, high-quality and decent jobs, and of the number of potential beneficiaries of the value-added services and applications based on those datasets;</w:t>
            </w:r>
          </w:p>
        </w:tc>
        <w:tc>
          <w:tcPr>
            <w:tcW w:w="324" w:type="pct"/>
            <w:tcBorders>
              <w:top w:val="single" w:sz="4" w:space="0" w:color="auto"/>
              <w:left w:val="single" w:sz="4" w:space="0" w:color="auto"/>
              <w:bottom w:val="single" w:sz="4" w:space="0" w:color="auto"/>
              <w:right w:val="single" w:sz="4" w:space="0" w:color="auto"/>
            </w:tcBorders>
          </w:tcPr>
          <w:p w14:paraId="039D5DB6"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4.38)</w:t>
            </w:r>
          </w:p>
        </w:tc>
        <w:tc>
          <w:tcPr>
            <w:tcW w:w="1231" w:type="pct"/>
            <w:tcBorders>
              <w:top w:val="single" w:sz="4" w:space="0" w:color="auto"/>
              <w:left w:val="single" w:sz="4" w:space="0" w:color="auto"/>
              <w:bottom w:val="single" w:sz="4" w:space="0" w:color="auto"/>
              <w:right w:val="single" w:sz="4" w:space="0" w:color="auto"/>
            </w:tcBorders>
          </w:tcPr>
          <w:p w14:paraId="4720C82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С</w:t>
            </w:r>
            <w:r w:rsidRPr="008F0CED">
              <w:rPr>
                <w:rFonts w:ascii="Times New Roman" w:hAnsi="Times New Roman" w:cs="Times New Roman"/>
                <w:sz w:val="20"/>
                <w:szCs w:val="20"/>
                <w:lang w:val="en-GB" w:eastAsia="en-GB"/>
              </w:rPr>
              <w:t>КУПОВИ ПОДАТАКА</w:t>
            </w:r>
            <w:r w:rsidRPr="008F0CED">
              <w:rPr>
                <w:rFonts w:ascii="Times New Roman" w:hAnsi="Times New Roman" w:cs="Times New Roman"/>
                <w:sz w:val="20"/>
                <w:szCs w:val="20"/>
                <w:lang w:val="sr-Cyrl-RS" w:eastAsia="en-GB"/>
              </w:rPr>
              <w:t xml:space="preserve"> ОД ПОСЕБНОГ ЗНАЧАЈА ЗА ПОНОВНУ УПОТРЕБУ СУ ГЕОПРОСТОРНИ, МЕТЕОРОЛОШКИ, СТАТИСТИЧКИ ПОДАЦИ, КАО И ПОДАЦИ О ЗАШТИТИ ЖИВОТНЕ СРЕДИНЕ, ПРИВРЕДНИМ ДРУШТВИМА И МОБИЛНОСТИ, КАО И ДРУГИ ПОДАЦИ ЧИЈА ПОНОВНА УПОТРЕБА ДОНОСИ ДОДАТНУ КОРИСТ ДРУШТВУ.</w:t>
            </w:r>
          </w:p>
        </w:tc>
        <w:tc>
          <w:tcPr>
            <w:tcW w:w="442" w:type="pct"/>
            <w:tcBorders>
              <w:top w:val="single" w:sz="4" w:space="0" w:color="auto"/>
              <w:left w:val="single" w:sz="4" w:space="0" w:color="auto"/>
              <w:bottom w:val="single" w:sz="4" w:space="0" w:color="auto"/>
              <w:right w:val="single" w:sz="4" w:space="0" w:color="auto"/>
            </w:tcBorders>
          </w:tcPr>
          <w:p w14:paraId="4FAAC95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65FA2A2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492EF79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29DC9619"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3A55964C"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0919148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2.1. 11)</w:t>
            </w:r>
          </w:p>
        </w:tc>
        <w:tc>
          <w:tcPr>
            <w:tcW w:w="945" w:type="pct"/>
            <w:tcBorders>
              <w:top w:val="single" w:sz="4" w:space="0" w:color="auto"/>
              <w:left w:val="single" w:sz="4" w:space="0" w:color="auto"/>
              <w:bottom w:val="single" w:sz="4" w:space="0" w:color="auto"/>
              <w:right w:val="single" w:sz="4" w:space="0" w:color="auto"/>
            </w:tcBorders>
          </w:tcPr>
          <w:p w14:paraId="2235083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(11) ‘re-use’ means the use by persons or legal entities of documents held by:</w:t>
            </w:r>
          </w:p>
          <w:p w14:paraId="6787D30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(a) public sector bodies, for commercial or non-commercial purposes other than the initial purpose within the public task for which the documents were produced, except for the exchange of documents between public sector bodies purely in pursuit of their public tasks; or (b) public undertakings, for commercial or non-commercial purposes other than for the initial purpose of providing services in the general interest for which the documents were produced, except for the exchange of documents between public undertakings and public sector bodies purely in pursuit of the public tasks of public sector bodies;</w:t>
            </w:r>
          </w:p>
        </w:tc>
        <w:tc>
          <w:tcPr>
            <w:tcW w:w="324" w:type="pct"/>
            <w:tcBorders>
              <w:top w:val="single" w:sz="4" w:space="0" w:color="auto"/>
              <w:left w:val="single" w:sz="4" w:space="0" w:color="auto"/>
              <w:bottom w:val="single" w:sz="4" w:space="0" w:color="auto"/>
              <w:right w:val="single" w:sz="4" w:space="0" w:color="auto"/>
            </w:tcBorders>
          </w:tcPr>
          <w:p w14:paraId="60B8B41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4.3</w:t>
            </w:r>
            <w:r w:rsidRPr="008F0CED">
              <w:rPr>
                <w:rFonts w:ascii="Times New Roman" w:hAnsi="Times New Roman" w:cs="Times New Roman"/>
                <w:sz w:val="20"/>
                <w:szCs w:val="20"/>
                <w:lang w:val="sr-Cyrl-RS" w:eastAsia="en-GB"/>
              </w:rPr>
              <w:t>3</w:t>
            </w:r>
            <w:r w:rsidRPr="008F0CED">
              <w:rPr>
                <w:rFonts w:ascii="Times New Roman" w:hAnsi="Times New Roman" w:cs="Times New Roman"/>
                <w:sz w:val="20"/>
                <w:szCs w:val="20"/>
                <w:lang w:val="en-GB" w:eastAsia="en-GB"/>
              </w:rPr>
              <w:t>)</w:t>
            </w:r>
          </w:p>
        </w:tc>
        <w:tc>
          <w:tcPr>
            <w:tcW w:w="1231" w:type="pct"/>
            <w:tcBorders>
              <w:top w:val="single" w:sz="4" w:space="0" w:color="auto"/>
              <w:left w:val="single" w:sz="4" w:space="0" w:color="auto"/>
              <w:bottom w:val="single" w:sz="4" w:space="0" w:color="auto"/>
              <w:right w:val="single" w:sz="4" w:space="0" w:color="auto"/>
            </w:tcBorders>
          </w:tcPr>
          <w:p w14:paraId="28E11DA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roofErr w:type="spellStart"/>
            <w:r w:rsidRPr="008F0CED">
              <w:rPr>
                <w:rFonts w:ascii="Times New Roman" w:hAnsi="Times New Roman" w:cs="Times New Roman"/>
                <w:sz w:val="20"/>
                <w:szCs w:val="20"/>
                <w:lang w:val="en-GB" w:eastAsia="en-GB"/>
              </w:rPr>
              <w:t>поновна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употреба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података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коришћење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података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органа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од</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стране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физичких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или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правних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лица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за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комерцијалне</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некомерцијалне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сврхе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другачије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од</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првобитне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за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били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НАСТАЛИ</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НЕ</w:t>
            </w:r>
            <w:proofErr w:type="spellEnd"/>
            <w:r w:rsidRPr="008F0CED">
              <w:rPr>
                <w:rFonts w:ascii="Times New Roman" w:hAnsi="Times New Roman" w:cs="Times New Roman"/>
                <w:sz w:val="20"/>
                <w:szCs w:val="20"/>
                <w:lang w:val="en-GB" w:eastAsia="en-GB"/>
              </w:rPr>
              <w:t xml:space="preserve"> ОБУХВАТА РАЗМЕНУ ПОДАТАКА ИЗМЕЂУ ОРГАНА У ОБАВЉАЊУ ПОСЛОВА ИЗ НАДЛЕЖНОСТИ;</w:t>
            </w:r>
          </w:p>
        </w:tc>
        <w:tc>
          <w:tcPr>
            <w:tcW w:w="442" w:type="pct"/>
            <w:tcBorders>
              <w:top w:val="single" w:sz="4" w:space="0" w:color="auto"/>
              <w:left w:val="single" w:sz="4" w:space="0" w:color="auto"/>
              <w:bottom w:val="single" w:sz="4" w:space="0" w:color="auto"/>
              <w:right w:val="single" w:sz="4" w:space="0" w:color="auto"/>
            </w:tcBorders>
          </w:tcPr>
          <w:p w14:paraId="5F3ABCC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6B69BBF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525DEFF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78CBB7C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2F5EFB7B"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0073AF2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2.1. 12)</w:t>
            </w:r>
          </w:p>
        </w:tc>
        <w:tc>
          <w:tcPr>
            <w:tcW w:w="945" w:type="pct"/>
            <w:tcBorders>
              <w:top w:val="single" w:sz="4" w:space="0" w:color="auto"/>
              <w:left w:val="single" w:sz="4" w:space="0" w:color="auto"/>
              <w:bottom w:val="single" w:sz="4" w:space="0" w:color="auto"/>
              <w:right w:val="single" w:sz="4" w:space="0" w:color="auto"/>
            </w:tcBorders>
          </w:tcPr>
          <w:p w14:paraId="711391A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(12) ‘personal data’ means personal data as defined in point (1) of Article 4 of Regulation (EU) 2016/679;</w:t>
            </w:r>
          </w:p>
        </w:tc>
        <w:tc>
          <w:tcPr>
            <w:tcW w:w="324" w:type="pct"/>
            <w:tcBorders>
              <w:top w:val="single" w:sz="4" w:space="0" w:color="auto"/>
              <w:left w:val="single" w:sz="4" w:space="0" w:color="auto"/>
              <w:bottom w:val="single" w:sz="4" w:space="0" w:color="auto"/>
              <w:right w:val="single" w:sz="4" w:space="0" w:color="auto"/>
            </w:tcBorders>
          </w:tcPr>
          <w:p w14:paraId="16C7CB1A"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09C76736"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41CF300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447232D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Појам одређен посебним законом.</w:t>
            </w:r>
          </w:p>
        </w:tc>
        <w:tc>
          <w:tcPr>
            <w:tcW w:w="513" w:type="pct"/>
            <w:tcBorders>
              <w:top w:val="single" w:sz="4" w:space="0" w:color="auto"/>
              <w:left w:val="single" w:sz="4" w:space="0" w:color="auto"/>
              <w:bottom w:val="single" w:sz="4" w:space="0" w:color="auto"/>
              <w:right w:val="single" w:sz="4" w:space="0" w:color="auto"/>
            </w:tcBorders>
          </w:tcPr>
          <w:p w14:paraId="6C163C9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2C1EA9A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0CB54F73"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69E25DA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2.1. 13)</w:t>
            </w:r>
          </w:p>
        </w:tc>
        <w:tc>
          <w:tcPr>
            <w:tcW w:w="945" w:type="pct"/>
            <w:tcBorders>
              <w:top w:val="single" w:sz="4" w:space="0" w:color="auto"/>
              <w:left w:val="single" w:sz="4" w:space="0" w:color="auto"/>
              <w:bottom w:val="single" w:sz="4" w:space="0" w:color="auto"/>
              <w:right w:val="single" w:sz="4" w:space="0" w:color="auto"/>
            </w:tcBorders>
          </w:tcPr>
          <w:p w14:paraId="2C306DF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(13) ‘machine-readable format’ means a file format structured so that software applications can easily identify, recognise and extract specific data, including individual statements of fact, and their internal structure;</w:t>
            </w:r>
          </w:p>
        </w:tc>
        <w:tc>
          <w:tcPr>
            <w:tcW w:w="324" w:type="pct"/>
            <w:tcBorders>
              <w:top w:val="single" w:sz="4" w:space="0" w:color="auto"/>
              <w:left w:val="single" w:sz="4" w:space="0" w:color="auto"/>
              <w:bottom w:val="single" w:sz="4" w:space="0" w:color="auto"/>
              <w:right w:val="single" w:sz="4" w:space="0" w:color="auto"/>
            </w:tcBorders>
          </w:tcPr>
          <w:p w14:paraId="58F79EC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4.2</w:t>
            </w:r>
            <w:r w:rsidRPr="008F0CED">
              <w:rPr>
                <w:rFonts w:ascii="Times New Roman" w:hAnsi="Times New Roman" w:cs="Times New Roman"/>
                <w:sz w:val="20"/>
                <w:szCs w:val="20"/>
                <w:lang w:val="sr-Cyrl-RS" w:eastAsia="en-GB"/>
              </w:rPr>
              <w:t>5</w:t>
            </w:r>
            <w:r w:rsidRPr="008F0CED">
              <w:rPr>
                <w:rFonts w:ascii="Times New Roman" w:hAnsi="Times New Roman" w:cs="Times New Roman"/>
                <w:sz w:val="20"/>
                <w:szCs w:val="20"/>
                <w:lang w:val="en-GB" w:eastAsia="en-GB"/>
              </w:rPr>
              <w:t>)</w:t>
            </w:r>
          </w:p>
        </w:tc>
        <w:tc>
          <w:tcPr>
            <w:tcW w:w="1231" w:type="pct"/>
            <w:tcBorders>
              <w:top w:val="single" w:sz="4" w:space="0" w:color="auto"/>
              <w:left w:val="single" w:sz="4" w:space="0" w:color="auto"/>
              <w:bottom w:val="single" w:sz="4" w:space="0" w:color="auto"/>
              <w:right w:val="single" w:sz="4" w:space="0" w:color="auto"/>
            </w:tcBorders>
          </w:tcPr>
          <w:p w14:paraId="2E942B4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roofErr w:type="spellStart"/>
            <w:r w:rsidRPr="008F0CED">
              <w:rPr>
                <w:rFonts w:ascii="Times New Roman" w:hAnsi="Times New Roman" w:cs="Times New Roman"/>
                <w:sz w:val="20"/>
                <w:szCs w:val="20"/>
                <w:lang w:val="en-GB" w:eastAsia="en-GB"/>
              </w:rPr>
              <w:t>машински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читљив</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облик</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облик</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електронски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меморисаног</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записа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структуриран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тако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га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програмска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апликација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може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лако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идентификовати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препознати</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из</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њега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издвојити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одређене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податке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укључујући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појединачне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податке</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њихову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унутрашњу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структуру</w:t>
            </w:r>
            <w:proofErr w:type="spellEnd"/>
            <w:r w:rsidRPr="008F0CED">
              <w:rPr>
                <w:rFonts w:ascii="Times New Roman" w:hAnsi="Times New Roman" w:cs="Times New Roman"/>
                <w:sz w:val="20"/>
                <w:szCs w:val="20"/>
                <w:lang w:val="en-GB" w:eastAsia="en-GB"/>
              </w:rPr>
              <w:t>;</w:t>
            </w:r>
          </w:p>
        </w:tc>
        <w:tc>
          <w:tcPr>
            <w:tcW w:w="442" w:type="pct"/>
            <w:tcBorders>
              <w:top w:val="single" w:sz="4" w:space="0" w:color="auto"/>
              <w:left w:val="single" w:sz="4" w:space="0" w:color="auto"/>
              <w:bottom w:val="single" w:sz="4" w:space="0" w:color="auto"/>
              <w:right w:val="single" w:sz="4" w:space="0" w:color="auto"/>
            </w:tcBorders>
          </w:tcPr>
          <w:p w14:paraId="054C8EC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650ED95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05B49F0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7D464AE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53592EDE"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22B5B13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2.1. 14)</w:t>
            </w:r>
          </w:p>
        </w:tc>
        <w:tc>
          <w:tcPr>
            <w:tcW w:w="945" w:type="pct"/>
            <w:tcBorders>
              <w:top w:val="single" w:sz="4" w:space="0" w:color="auto"/>
              <w:left w:val="single" w:sz="4" w:space="0" w:color="auto"/>
              <w:bottom w:val="single" w:sz="4" w:space="0" w:color="auto"/>
              <w:right w:val="single" w:sz="4" w:space="0" w:color="auto"/>
            </w:tcBorders>
          </w:tcPr>
          <w:p w14:paraId="2F5D4F6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(14) ‘open format’ means a file format that is platform-independent and made available to the public without any restriction that impedes the re-use of documents;</w:t>
            </w:r>
          </w:p>
        </w:tc>
        <w:tc>
          <w:tcPr>
            <w:tcW w:w="324" w:type="pct"/>
            <w:tcBorders>
              <w:top w:val="single" w:sz="4" w:space="0" w:color="auto"/>
              <w:left w:val="single" w:sz="4" w:space="0" w:color="auto"/>
              <w:bottom w:val="single" w:sz="4" w:space="0" w:color="auto"/>
              <w:right w:val="single" w:sz="4" w:space="0" w:color="auto"/>
            </w:tcBorders>
          </w:tcPr>
          <w:p w14:paraId="29BCA90B"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4.2</w:t>
            </w:r>
            <w:r w:rsidRPr="008F0CED">
              <w:rPr>
                <w:rFonts w:ascii="Times New Roman" w:hAnsi="Times New Roman" w:cs="Times New Roman"/>
                <w:sz w:val="20"/>
                <w:szCs w:val="20"/>
                <w:lang w:val="sr-Cyrl-RS" w:eastAsia="en-GB"/>
              </w:rPr>
              <w:t>9</w:t>
            </w:r>
            <w:r w:rsidRPr="008F0CED">
              <w:rPr>
                <w:rFonts w:ascii="Times New Roman" w:hAnsi="Times New Roman" w:cs="Times New Roman"/>
                <w:sz w:val="20"/>
                <w:szCs w:val="20"/>
                <w:lang w:val="en-GB" w:eastAsia="en-GB"/>
              </w:rPr>
              <w:t>)</w:t>
            </w:r>
          </w:p>
        </w:tc>
        <w:tc>
          <w:tcPr>
            <w:tcW w:w="1231" w:type="pct"/>
            <w:tcBorders>
              <w:top w:val="single" w:sz="4" w:space="0" w:color="auto"/>
              <w:left w:val="single" w:sz="4" w:space="0" w:color="auto"/>
              <w:bottom w:val="single" w:sz="4" w:space="0" w:color="auto"/>
              <w:right w:val="single" w:sz="4" w:space="0" w:color="auto"/>
            </w:tcBorders>
          </w:tcPr>
          <w:p w14:paraId="45ADD76C" w14:textId="73093419"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roofErr w:type="spellStart"/>
            <w:r w:rsidRPr="008F0CED">
              <w:rPr>
                <w:rFonts w:ascii="Times New Roman" w:hAnsi="Times New Roman" w:cs="Times New Roman"/>
                <w:sz w:val="20"/>
                <w:szCs w:val="20"/>
                <w:lang w:val="en-GB" w:eastAsia="en-GB"/>
              </w:rPr>
              <w:t>отворени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облик</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облик</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електронски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меморисаног</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записа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има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својство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независности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од</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платформе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којој</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наста</w:t>
            </w:r>
            <w:proofErr w:type="spellEnd"/>
            <w:r w:rsidR="00F46B77">
              <w:rPr>
                <w:rFonts w:ascii="Times New Roman" w:hAnsi="Times New Roman" w:cs="Times New Roman"/>
                <w:sz w:val="20"/>
                <w:szCs w:val="20"/>
                <w:lang w:val="sr-Cyrl-RS" w:eastAsia="en-GB"/>
              </w:rPr>
              <w:t>о</w:t>
            </w:r>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који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доступан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јавности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без</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ограничења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би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могла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спречити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поновну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употребу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податка</w:t>
            </w:r>
            <w:proofErr w:type="spellEnd"/>
          </w:p>
        </w:tc>
        <w:tc>
          <w:tcPr>
            <w:tcW w:w="442" w:type="pct"/>
            <w:tcBorders>
              <w:top w:val="single" w:sz="4" w:space="0" w:color="auto"/>
              <w:left w:val="single" w:sz="4" w:space="0" w:color="auto"/>
              <w:bottom w:val="single" w:sz="4" w:space="0" w:color="auto"/>
              <w:right w:val="single" w:sz="4" w:space="0" w:color="auto"/>
            </w:tcBorders>
          </w:tcPr>
          <w:p w14:paraId="392E2E9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3BBD2C7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635FCF7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6DA7A45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6A4EA0BF"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F67E59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2.1. 15)</w:t>
            </w:r>
          </w:p>
        </w:tc>
        <w:tc>
          <w:tcPr>
            <w:tcW w:w="945" w:type="pct"/>
            <w:tcBorders>
              <w:top w:val="single" w:sz="4" w:space="0" w:color="auto"/>
              <w:left w:val="single" w:sz="4" w:space="0" w:color="auto"/>
              <w:bottom w:val="single" w:sz="4" w:space="0" w:color="auto"/>
              <w:right w:val="single" w:sz="4" w:space="0" w:color="auto"/>
            </w:tcBorders>
          </w:tcPr>
          <w:p w14:paraId="6FDEF39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(15) ‘formal open standard’ means a standard which has been laid down in written form, detailing specifications for the requirements on how to ensure software interoperability;</w:t>
            </w:r>
          </w:p>
        </w:tc>
        <w:tc>
          <w:tcPr>
            <w:tcW w:w="324" w:type="pct"/>
            <w:tcBorders>
              <w:top w:val="single" w:sz="4" w:space="0" w:color="auto"/>
              <w:left w:val="single" w:sz="4" w:space="0" w:color="auto"/>
              <w:bottom w:val="single" w:sz="4" w:space="0" w:color="auto"/>
              <w:right w:val="single" w:sz="4" w:space="0" w:color="auto"/>
            </w:tcBorders>
          </w:tcPr>
          <w:p w14:paraId="5733FB17"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4.31)</w:t>
            </w:r>
          </w:p>
        </w:tc>
        <w:tc>
          <w:tcPr>
            <w:tcW w:w="1231" w:type="pct"/>
            <w:tcBorders>
              <w:top w:val="single" w:sz="4" w:space="0" w:color="auto"/>
              <w:left w:val="single" w:sz="4" w:space="0" w:color="auto"/>
              <w:bottom w:val="single" w:sz="4" w:space="0" w:color="auto"/>
              <w:right w:val="single" w:sz="4" w:space="0" w:color="auto"/>
            </w:tcBorders>
          </w:tcPr>
          <w:p w14:paraId="0034785A"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ОТВОРЕНИ СТАНДАРД ЈЕ У ПИСАНОМ ОБЛИКУ УТВРЂЕН СТАНДАРД КОЈИ НА ДЕТАЉАН НАЧИН ДЕФИНИШЕ ПРЕДУСЛОВЕ ЗА ИНТЕРОПЕРАБИЛНОСТ СОФТВЕРСКИХ РЕШЕЊА</w:t>
            </w:r>
          </w:p>
        </w:tc>
        <w:tc>
          <w:tcPr>
            <w:tcW w:w="442" w:type="pct"/>
            <w:tcBorders>
              <w:top w:val="single" w:sz="4" w:space="0" w:color="auto"/>
              <w:left w:val="single" w:sz="4" w:space="0" w:color="auto"/>
              <w:bottom w:val="single" w:sz="4" w:space="0" w:color="auto"/>
              <w:right w:val="single" w:sz="4" w:space="0" w:color="auto"/>
            </w:tcBorders>
          </w:tcPr>
          <w:p w14:paraId="77F9C3B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43D7794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3C54DA5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1E48CF8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71CB53C1"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6579A16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2.1. 16)</w:t>
            </w:r>
          </w:p>
        </w:tc>
        <w:tc>
          <w:tcPr>
            <w:tcW w:w="945" w:type="pct"/>
            <w:tcBorders>
              <w:top w:val="single" w:sz="4" w:space="0" w:color="auto"/>
              <w:left w:val="single" w:sz="4" w:space="0" w:color="auto"/>
              <w:bottom w:val="single" w:sz="4" w:space="0" w:color="auto"/>
              <w:right w:val="single" w:sz="4" w:space="0" w:color="auto"/>
            </w:tcBorders>
          </w:tcPr>
          <w:p w14:paraId="063169A6"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(16) ‘reasonable return on investment’ means a percentage of the overall charge, in addition to that needed to recover the eligible costs, not exceeding 5 percentage points above the fixed interest rate of the ECB;</w:t>
            </w:r>
          </w:p>
        </w:tc>
        <w:tc>
          <w:tcPr>
            <w:tcW w:w="324" w:type="pct"/>
            <w:tcBorders>
              <w:top w:val="single" w:sz="4" w:space="0" w:color="auto"/>
              <w:left w:val="single" w:sz="4" w:space="0" w:color="auto"/>
              <w:bottom w:val="single" w:sz="4" w:space="0" w:color="auto"/>
              <w:right w:val="single" w:sz="4" w:space="0" w:color="auto"/>
            </w:tcBorders>
          </w:tcPr>
          <w:p w14:paraId="30AEC37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3B8EAFD6"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6BFC704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НП</w:t>
            </w:r>
          </w:p>
        </w:tc>
        <w:tc>
          <w:tcPr>
            <w:tcW w:w="599" w:type="pct"/>
            <w:gridSpan w:val="2"/>
            <w:tcBorders>
              <w:top w:val="single" w:sz="4" w:space="0" w:color="auto"/>
              <w:left w:val="single" w:sz="4" w:space="0" w:color="auto"/>
              <w:bottom w:val="single" w:sz="4" w:space="0" w:color="auto"/>
              <w:right w:val="single" w:sz="4" w:space="0" w:color="auto"/>
            </w:tcBorders>
          </w:tcPr>
          <w:p w14:paraId="4E6BE480"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 xml:space="preserve">Закон о електронској управи није у складу са цитираним чланом/ставом/ тачком. Не садржи дефиницију </w:t>
            </w:r>
            <w:r w:rsidRPr="008F0CED">
              <w:rPr>
                <w:rFonts w:ascii="Times New Roman" w:hAnsi="Times New Roman" w:cs="Times New Roman"/>
                <w:sz w:val="20"/>
                <w:szCs w:val="20"/>
                <w:lang w:val="en-GB" w:eastAsia="en-GB"/>
              </w:rPr>
              <w:t>„</w:t>
            </w:r>
            <w:r w:rsidRPr="008F0CED">
              <w:rPr>
                <w:rFonts w:ascii="Times New Roman" w:hAnsi="Times New Roman" w:cs="Times New Roman"/>
                <w:sz w:val="20"/>
                <w:szCs w:val="20"/>
                <w:lang w:val="sr-Cyrl-RS" w:eastAsia="en-GB"/>
              </w:rPr>
              <w:t>разумног повраћаја улагања</w:t>
            </w:r>
            <w:r w:rsidRPr="008F0CED">
              <w:rPr>
                <w:rFonts w:ascii="Times New Roman" w:hAnsi="Times New Roman" w:cs="Times New Roman"/>
                <w:sz w:val="20"/>
                <w:szCs w:val="20"/>
                <w:lang w:val="en-GB" w:eastAsia="en-GB"/>
              </w:rPr>
              <w:t>“.</w:t>
            </w:r>
          </w:p>
        </w:tc>
        <w:tc>
          <w:tcPr>
            <w:tcW w:w="513" w:type="pct"/>
            <w:tcBorders>
              <w:top w:val="single" w:sz="4" w:space="0" w:color="auto"/>
              <w:left w:val="single" w:sz="4" w:space="0" w:color="auto"/>
              <w:bottom w:val="single" w:sz="4" w:space="0" w:color="auto"/>
              <w:right w:val="single" w:sz="4" w:space="0" w:color="auto"/>
            </w:tcBorders>
          </w:tcPr>
          <w:p w14:paraId="1C29EFD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Приликом приступања Републике Србије Европској унији</w:t>
            </w:r>
          </w:p>
        </w:tc>
        <w:tc>
          <w:tcPr>
            <w:tcW w:w="535" w:type="pct"/>
            <w:tcBorders>
              <w:top w:val="single" w:sz="4" w:space="0" w:color="auto"/>
              <w:left w:val="single" w:sz="4" w:space="0" w:color="auto"/>
              <w:bottom w:val="single" w:sz="4" w:space="0" w:color="auto"/>
              <w:right w:val="single" w:sz="4" w:space="0" w:color="auto"/>
            </w:tcBorders>
          </w:tcPr>
          <w:p w14:paraId="0FE225A8" w14:textId="77777777" w:rsidR="008F0CED" w:rsidRPr="008F0CED" w:rsidRDefault="008F0CED" w:rsidP="008F0CED">
            <w:pPr>
              <w:tabs>
                <w:tab w:val="left" w:pos="2835"/>
              </w:tabs>
              <w:spacing w:before="120" w:after="120" w:line="240" w:lineRule="auto"/>
              <w:rPr>
                <w:rFonts w:ascii="Times New Roman" w:hAnsi="Times New Roman" w:cs="Times New Roman"/>
                <w:color w:val="FF0000"/>
                <w:sz w:val="20"/>
                <w:szCs w:val="20"/>
                <w:highlight w:val="yellow"/>
                <w:lang w:val="sr-Cyrl-RS" w:eastAsia="en-GB"/>
              </w:rPr>
            </w:pPr>
          </w:p>
        </w:tc>
      </w:tr>
      <w:tr w:rsidR="008F0CED" w:rsidRPr="008F0CED" w14:paraId="34D0DFE6"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2058F60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2.1. 17)</w:t>
            </w:r>
          </w:p>
        </w:tc>
        <w:tc>
          <w:tcPr>
            <w:tcW w:w="945" w:type="pct"/>
            <w:tcBorders>
              <w:top w:val="single" w:sz="4" w:space="0" w:color="auto"/>
              <w:left w:val="single" w:sz="4" w:space="0" w:color="auto"/>
              <w:bottom w:val="single" w:sz="4" w:space="0" w:color="auto"/>
              <w:right w:val="single" w:sz="4" w:space="0" w:color="auto"/>
            </w:tcBorders>
          </w:tcPr>
          <w:p w14:paraId="0FE2EEAB"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(17) ‘third party’ means any natural or legal person other than a public sector body or a public undertaking that holds the data.</w:t>
            </w:r>
          </w:p>
        </w:tc>
        <w:tc>
          <w:tcPr>
            <w:tcW w:w="324" w:type="pct"/>
            <w:tcBorders>
              <w:top w:val="single" w:sz="4" w:space="0" w:color="auto"/>
              <w:left w:val="single" w:sz="4" w:space="0" w:color="auto"/>
              <w:bottom w:val="single" w:sz="4" w:space="0" w:color="auto"/>
              <w:right w:val="single" w:sz="4" w:space="0" w:color="auto"/>
            </w:tcBorders>
          </w:tcPr>
          <w:p w14:paraId="0FEAC93A"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26.9.</w:t>
            </w:r>
          </w:p>
        </w:tc>
        <w:tc>
          <w:tcPr>
            <w:tcW w:w="1231" w:type="pct"/>
            <w:tcBorders>
              <w:top w:val="single" w:sz="4" w:space="0" w:color="auto"/>
              <w:left w:val="single" w:sz="4" w:space="0" w:color="auto"/>
              <w:bottom w:val="single" w:sz="4" w:space="0" w:color="auto"/>
              <w:right w:val="single" w:sz="4" w:space="0" w:color="auto"/>
            </w:tcBorders>
          </w:tcPr>
          <w:p w14:paraId="3D3664E7"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ОРГАН ЈЕ ДУЖАН ДА УЧИНИ ДОСТУПНИМ НА СВОЈОЈ ВЕБ ПРЕЗЕНТАЦИЈИ, НАЈМАЊЕ ДВА МЕСЕЦА ПРЕ СТУПАЊА НА СНАГУ, УГОВОР, СПОРАЗУМ ИЛИ ОДЛУКУ И ИНФОРМАЦИЈЕ О ПРАВНИМ ОДНОСИМА:</w:t>
            </w:r>
          </w:p>
          <w:p w14:paraId="6AC9B98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1) КОЈИМА СЕ ЗАСНИВАЈУ ИСКЉУЧИВА ПРАВА НА ПОНОВНУ УПОТРЕБУ ПОДАТАКА У СКЛАДУ СА СТАВОМ </w:t>
            </w:r>
            <w:r w:rsidRPr="008F0CED">
              <w:rPr>
                <w:rFonts w:ascii="Times New Roman" w:hAnsi="Times New Roman" w:cs="Times New Roman"/>
                <w:sz w:val="20"/>
                <w:szCs w:val="20"/>
                <w:lang w:val="sr-Cyrl-RS" w:eastAsia="en-GB"/>
              </w:rPr>
              <w:t>1</w:t>
            </w:r>
            <w:r w:rsidRPr="008F0CED">
              <w:rPr>
                <w:rFonts w:ascii="Times New Roman" w:hAnsi="Times New Roman" w:cs="Times New Roman"/>
                <w:sz w:val="20"/>
                <w:szCs w:val="20"/>
                <w:lang w:val="en-GB" w:eastAsia="en-GB"/>
              </w:rPr>
              <w:t xml:space="preserve">3. ОВОГ ЧЛАНА ИЛИ </w:t>
            </w:r>
          </w:p>
          <w:p w14:paraId="57E0229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 КОЈИМА СЕ НЕ ЗАСНИВАЈУ ИСКЉУЧИВА ПРАВА НА ПОНОВНУ УПОТРЕБУ ПОДАТАКА АЛИ КОЈА ИМАЈУ ЗА ЦИЉ ИЛИ ПО СВОМ ЕФЕКТУ МОГУ ДОВЕСТИ ДО ОГРАНИЧЕНЕ ДОСТУПНОСТИ ЗА ПОНОВНУ УПОТРЕБУ ПОДАТАКА У СКЛАДУ СА СТАВОМ 9. ОВОГ ЧЛАНА.</w:t>
            </w:r>
          </w:p>
        </w:tc>
        <w:tc>
          <w:tcPr>
            <w:tcW w:w="442" w:type="pct"/>
            <w:tcBorders>
              <w:top w:val="single" w:sz="4" w:space="0" w:color="auto"/>
              <w:left w:val="single" w:sz="4" w:space="0" w:color="auto"/>
              <w:bottom w:val="single" w:sz="4" w:space="0" w:color="auto"/>
              <w:right w:val="single" w:sz="4" w:space="0" w:color="auto"/>
            </w:tcBorders>
          </w:tcPr>
          <w:p w14:paraId="4C9B3ED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7AC684F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2CE8B14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75E6DD9E" w14:textId="77777777" w:rsidR="008F0CED" w:rsidRPr="008F0CED" w:rsidRDefault="008F0CED" w:rsidP="008F0CED">
            <w:pPr>
              <w:tabs>
                <w:tab w:val="left" w:pos="2835"/>
              </w:tabs>
              <w:spacing w:before="120" w:after="120" w:line="240" w:lineRule="auto"/>
              <w:rPr>
                <w:rFonts w:ascii="Times New Roman" w:hAnsi="Times New Roman" w:cs="Times New Roman"/>
                <w:color w:val="FF0000"/>
                <w:sz w:val="20"/>
                <w:szCs w:val="20"/>
                <w:lang w:val="sr-Cyrl-RS" w:eastAsia="en-GB"/>
              </w:rPr>
            </w:pPr>
            <w:r w:rsidRPr="008F0CED">
              <w:rPr>
                <w:rFonts w:ascii="Times New Roman" w:hAnsi="Times New Roman" w:cs="Times New Roman"/>
                <w:sz w:val="20"/>
                <w:szCs w:val="20"/>
                <w:lang w:val="sr-Cyrl-RS" w:eastAsia="en-GB"/>
              </w:rPr>
              <w:t>Појам „трећа страна“ је јасно одређен у одредби.</w:t>
            </w:r>
          </w:p>
        </w:tc>
      </w:tr>
      <w:tr w:rsidR="008F0CED" w:rsidRPr="008F0CED" w14:paraId="6F8929D2"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C2A4AC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3.1.</w:t>
            </w:r>
          </w:p>
        </w:tc>
        <w:tc>
          <w:tcPr>
            <w:tcW w:w="945" w:type="pct"/>
            <w:tcBorders>
              <w:top w:val="single" w:sz="4" w:space="0" w:color="auto"/>
              <w:left w:val="single" w:sz="4" w:space="0" w:color="auto"/>
              <w:bottom w:val="single" w:sz="4" w:space="0" w:color="auto"/>
              <w:right w:val="single" w:sz="4" w:space="0" w:color="auto"/>
            </w:tcBorders>
            <w:shd w:val="clear" w:color="auto" w:fill="FFFFFF" w:themeFill="background1"/>
          </w:tcPr>
          <w:p w14:paraId="0D8488E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1.Subject to paragraph 2 of this Article, Member States shall ensure that documents to which this Directive applies in accordance with Article 1 shall be re-usable for commercial or non-commercial purposes in accordance with Chapters III and IV.</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cPr>
          <w:p w14:paraId="30856F2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0A06AF9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14:paraId="3D8C28E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НП</w:t>
            </w:r>
          </w:p>
        </w:tc>
        <w:tc>
          <w:tcPr>
            <w:tcW w:w="59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50ACE7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Није примењиво јер овај члан/став/тачка дефинише основне принципе законодавства ЕУ.</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tcPr>
          <w:p w14:paraId="4AA0425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tcPr>
          <w:p w14:paraId="011DCE8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1D6604F6"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7C16452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3.2.</w:t>
            </w:r>
          </w:p>
        </w:tc>
        <w:tc>
          <w:tcPr>
            <w:tcW w:w="945" w:type="pct"/>
            <w:tcBorders>
              <w:top w:val="single" w:sz="4" w:space="0" w:color="auto"/>
              <w:left w:val="single" w:sz="4" w:space="0" w:color="auto"/>
              <w:bottom w:val="single" w:sz="4" w:space="0" w:color="auto"/>
              <w:right w:val="single" w:sz="4" w:space="0" w:color="auto"/>
            </w:tcBorders>
          </w:tcPr>
          <w:p w14:paraId="7D67520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2.For documents in which libraries, including university libraries, museums and archives hold intellectual property rights and for documents held by public undertakings, Member States shall ensure that, where the re-use of such documents is allowed, those documents shall be re-usable for commercial or non-commercial purposes in accordance with Chapters III and IV.</w:t>
            </w:r>
          </w:p>
        </w:tc>
        <w:tc>
          <w:tcPr>
            <w:tcW w:w="324" w:type="pct"/>
            <w:tcBorders>
              <w:top w:val="single" w:sz="4" w:space="0" w:color="auto"/>
              <w:left w:val="single" w:sz="4" w:space="0" w:color="auto"/>
              <w:bottom w:val="single" w:sz="4" w:space="0" w:color="auto"/>
              <w:right w:val="single" w:sz="4" w:space="0" w:color="auto"/>
            </w:tcBorders>
          </w:tcPr>
          <w:p w14:paraId="7FC2387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58FE4045"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2CF472B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НП</w:t>
            </w:r>
          </w:p>
        </w:tc>
        <w:tc>
          <w:tcPr>
            <w:tcW w:w="599" w:type="pct"/>
            <w:gridSpan w:val="2"/>
            <w:tcBorders>
              <w:top w:val="single" w:sz="4" w:space="0" w:color="auto"/>
              <w:left w:val="single" w:sz="4" w:space="0" w:color="auto"/>
              <w:bottom w:val="single" w:sz="4" w:space="0" w:color="auto"/>
              <w:right w:val="single" w:sz="4" w:space="0" w:color="auto"/>
            </w:tcBorders>
          </w:tcPr>
          <w:p w14:paraId="38E142D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Није примењиво јер овај члан/став/тачка дефинише основне принципе законодавства ЕУ.</w:t>
            </w:r>
          </w:p>
        </w:tc>
        <w:tc>
          <w:tcPr>
            <w:tcW w:w="513" w:type="pct"/>
            <w:tcBorders>
              <w:top w:val="single" w:sz="4" w:space="0" w:color="auto"/>
              <w:left w:val="single" w:sz="4" w:space="0" w:color="auto"/>
              <w:bottom w:val="single" w:sz="4" w:space="0" w:color="auto"/>
              <w:right w:val="single" w:sz="4" w:space="0" w:color="auto"/>
            </w:tcBorders>
          </w:tcPr>
          <w:p w14:paraId="34CE686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6D8834F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21216406"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6DD9219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4.1.</w:t>
            </w:r>
          </w:p>
        </w:tc>
        <w:tc>
          <w:tcPr>
            <w:tcW w:w="945" w:type="pct"/>
            <w:tcBorders>
              <w:top w:val="single" w:sz="4" w:space="0" w:color="auto"/>
              <w:left w:val="single" w:sz="4" w:space="0" w:color="auto"/>
              <w:bottom w:val="single" w:sz="4" w:space="0" w:color="auto"/>
              <w:right w:val="single" w:sz="4" w:space="0" w:color="auto"/>
            </w:tcBorders>
          </w:tcPr>
          <w:p w14:paraId="3DEB727B"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Latn-RS" w:eastAsia="en-GB"/>
              </w:rPr>
            </w:pPr>
            <w:r w:rsidRPr="008F0CED">
              <w:rPr>
                <w:rFonts w:ascii="Times New Roman" w:hAnsi="Times New Roman" w:cs="Times New Roman"/>
                <w:sz w:val="20"/>
                <w:szCs w:val="20"/>
                <w:lang w:val="en-GB" w:eastAsia="en-GB"/>
              </w:rPr>
              <w:t>1.Public sector bodies shall, through electronic means where possible and appropriate, process requests for re-use and shall make the document available for re-use to the applicant or, if a licence is needed, finalise the licence offer to the applicant within a reasonable time that is consistent with the time frames laid down for the processing of requests for access to documents.</w:t>
            </w:r>
          </w:p>
        </w:tc>
        <w:tc>
          <w:tcPr>
            <w:tcW w:w="324" w:type="pct"/>
            <w:tcBorders>
              <w:top w:val="single" w:sz="4" w:space="0" w:color="auto"/>
              <w:left w:val="single" w:sz="4" w:space="0" w:color="auto"/>
              <w:bottom w:val="single" w:sz="4" w:space="0" w:color="auto"/>
              <w:right w:val="single" w:sz="4" w:space="0" w:color="auto"/>
            </w:tcBorders>
          </w:tcPr>
          <w:p w14:paraId="0C93A8A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26а 1.</w:t>
            </w:r>
          </w:p>
          <w:p w14:paraId="17B9216D"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26а 2.</w:t>
            </w:r>
          </w:p>
          <w:p w14:paraId="34440C85"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26а 5.</w:t>
            </w:r>
          </w:p>
        </w:tc>
        <w:tc>
          <w:tcPr>
            <w:tcW w:w="1231" w:type="pct"/>
            <w:tcBorders>
              <w:top w:val="single" w:sz="4" w:space="0" w:color="auto"/>
              <w:left w:val="single" w:sz="4" w:space="0" w:color="auto"/>
              <w:bottom w:val="single" w:sz="4" w:space="0" w:color="auto"/>
              <w:right w:val="single" w:sz="4" w:space="0" w:color="auto"/>
            </w:tcBorders>
          </w:tcPr>
          <w:p w14:paraId="31A10D74" w14:textId="3ACAA046"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en-GB" w:eastAsia="en-GB"/>
              </w:rPr>
              <w:t xml:space="preserve">ПРАВО НА ПОНОВНУ УПОТРЕБУ ПОДАТАКА ОСТВАРУЈЕ СЕ ПОДНОШЕЊЕМ ЗАХТЕВА ЗА ПОНОВНУ УПОТРЕБУ ПОДАТАКА ОРГАНУ </w:t>
            </w:r>
            <w:r w:rsidRPr="008F0CED">
              <w:rPr>
                <w:rFonts w:ascii="Times New Roman" w:hAnsi="Times New Roman" w:cs="Times New Roman"/>
                <w:sz w:val="20"/>
                <w:szCs w:val="20"/>
                <w:lang w:val="sr-Cyrl-RS" w:eastAsia="en-GB"/>
              </w:rPr>
              <w:t xml:space="preserve">ПОСЕДУЈЕ </w:t>
            </w:r>
            <w:r w:rsidRPr="008F0CED">
              <w:rPr>
                <w:rFonts w:ascii="Times New Roman" w:hAnsi="Times New Roman" w:cs="Times New Roman"/>
                <w:sz w:val="20"/>
                <w:szCs w:val="20"/>
                <w:lang w:val="en-GB" w:eastAsia="en-GB"/>
              </w:rPr>
              <w:t>ПОДАЦИМА, ОДНОСНО ПРИСТУПАЊЕМ ПОДАЦИМА У СКЛАДУ СА ЧЛ</w:t>
            </w:r>
            <w:r w:rsidR="00F46B77">
              <w:rPr>
                <w:rFonts w:ascii="Times New Roman" w:hAnsi="Times New Roman" w:cs="Times New Roman"/>
                <w:sz w:val="20"/>
                <w:szCs w:val="20"/>
                <w:lang w:val="sr-Cyrl-RS" w:eastAsia="en-GB"/>
              </w:rPr>
              <w:t>.</w:t>
            </w:r>
            <w:r w:rsidRPr="008F0CED">
              <w:rPr>
                <w:rFonts w:ascii="Times New Roman" w:hAnsi="Times New Roman" w:cs="Times New Roman"/>
                <w:sz w:val="20"/>
                <w:szCs w:val="20"/>
                <w:lang w:val="en-GB" w:eastAsia="en-GB"/>
              </w:rPr>
              <w:t xml:space="preserve"> 27. и 27а ОВОГ ЗАКОНА</w:t>
            </w:r>
            <w:r w:rsidRPr="008F0CED">
              <w:rPr>
                <w:rFonts w:ascii="Times New Roman" w:hAnsi="Times New Roman" w:cs="Times New Roman"/>
                <w:sz w:val="20"/>
                <w:szCs w:val="20"/>
                <w:lang w:val="sr-Cyrl-RS" w:eastAsia="en-GB"/>
              </w:rPr>
              <w:t>.</w:t>
            </w:r>
          </w:p>
          <w:p w14:paraId="0A8DEB64"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ЗАХТЕВ САДРЖИ НАЗИВ ОРГАНА КОЈИ ПОСЕДУЈЕ ПОДАТКЕ, ИМЕ И ПРЕЗИМЕ ОДНОСНО ПОСЛОВНО ИМЕ ИЛИ НАЗИВ ПОДНОСИОЦА, АДРЕСУ, СВРХУ, ОПИС ПОДАТАКА ЗА КОЈЕ СЕ ТРАЖИ ПОНОВНА УПОТРЕБА, КАО И ОБЛИК И НАЧИН ПРЕУЗИМАЊА ПОДАТАКА.</w:t>
            </w:r>
          </w:p>
          <w:p w14:paraId="018C236A"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У СКЛАДУ СА ЗАХТЕВОМ ПОДНОСИОЦА, ОРГАН ЋЕ ПОДАТКЕ ЗА ПОНОВНУ УПОТРЕБУ УЧИНИТИ ДОСТУПНИМ У МАШИНСКИ ЧИТЉИВОМ И ОТВОРЕНОМ ОБЛИКУ, ЗАЈЕДНО СА МЕТАПОДАЦИМА, УКОЛИКО ЈЕ ТО ТЕХНИЧКИ МОГУЋЕ.</w:t>
            </w:r>
          </w:p>
        </w:tc>
        <w:tc>
          <w:tcPr>
            <w:tcW w:w="442" w:type="pct"/>
            <w:tcBorders>
              <w:top w:val="single" w:sz="4" w:space="0" w:color="auto"/>
              <w:left w:val="single" w:sz="4" w:space="0" w:color="auto"/>
              <w:bottom w:val="single" w:sz="4" w:space="0" w:color="auto"/>
              <w:right w:val="single" w:sz="4" w:space="0" w:color="auto"/>
            </w:tcBorders>
          </w:tcPr>
          <w:p w14:paraId="783742F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7B10028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303EA8E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6EE34D82"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 xml:space="preserve">Члан 38. </w:t>
            </w:r>
            <w:proofErr w:type="spellStart"/>
            <w:r w:rsidRPr="008F0CED">
              <w:rPr>
                <w:rFonts w:ascii="Times New Roman" w:hAnsi="Times New Roman" w:cs="Times New Roman"/>
                <w:sz w:val="20"/>
                <w:szCs w:val="20"/>
                <w:lang w:val="en-GB" w:eastAsia="en-GB"/>
              </w:rPr>
              <w:t>Орган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дужан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ОМОГУЋИ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подношење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електронских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поднесака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ЕЛЕКТРОНСКИМ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ПУТЕМ</w:t>
            </w:r>
            <w:proofErr w:type="spellEnd"/>
            <w:r w:rsidRPr="008F0CED">
              <w:rPr>
                <w:rFonts w:ascii="Times New Roman" w:hAnsi="Times New Roman" w:cs="Times New Roman"/>
                <w:sz w:val="20"/>
                <w:szCs w:val="20"/>
                <w:lang w:val="sr-Cyrl-RS" w:eastAsia="en-GB"/>
              </w:rPr>
              <w:t>.</w:t>
            </w:r>
          </w:p>
        </w:tc>
      </w:tr>
      <w:tr w:rsidR="008F0CED" w:rsidRPr="008F0CED" w14:paraId="5CCA7225"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906EDF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4.2</w:t>
            </w:r>
          </w:p>
        </w:tc>
        <w:tc>
          <w:tcPr>
            <w:tcW w:w="945" w:type="pct"/>
            <w:tcBorders>
              <w:top w:val="single" w:sz="4" w:space="0" w:color="auto"/>
              <w:left w:val="single" w:sz="4" w:space="0" w:color="auto"/>
              <w:bottom w:val="single" w:sz="4" w:space="0" w:color="auto"/>
              <w:right w:val="single" w:sz="4" w:space="0" w:color="auto"/>
            </w:tcBorders>
          </w:tcPr>
          <w:p w14:paraId="39E3973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2.Where no time limits or other rules regulating the timely provision of documents have been established, public sector bodies shall process the request and shall deliver the documents for re-use to the applicant or, if a licence is needed, finalise the licence offer to the applicant as soon as possible, and in any event within 20 working days of receipt. That time frame may be extended by a further 20 working days in the case of extensive or complex requests. In such cases, the applicant shall be notified as soon as possible, and in any event within three weeks of the initial request, that more time is needed to process the request and the reasons why.</w:t>
            </w:r>
          </w:p>
        </w:tc>
        <w:tc>
          <w:tcPr>
            <w:tcW w:w="324" w:type="pct"/>
            <w:tcBorders>
              <w:top w:val="single" w:sz="4" w:space="0" w:color="auto"/>
              <w:left w:val="single" w:sz="4" w:space="0" w:color="auto"/>
              <w:bottom w:val="single" w:sz="4" w:space="0" w:color="auto"/>
              <w:right w:val="single" w:sz="4" w:space="0" w:color="auto"/>
            </w:tcBorders>
          </w:tcPr>
          <w:p w14:paraId="6B2BD557"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26a </w:t>
            </w:r>
            <w:r w:rsidRPr="008F0CED">
              <w:rPr>
                <w:rFonts w:ascii="Times New Roman" w:hAnsi="Times New Roman" w:cs="Times New Roman"/>
                <w:sz w:val="20"/>
                <w:szCs w:val="20"/>
                <w:lang w:val="sr-Cyrl-RS" w:eastAsia="en-GB"/>
              </w:rPr>
              <w:t>4</w:t>
            </w:r>
            <w:r w:rsidRPr="008F0CED">
              <w:rPr>
                <w:rFonts w:ascii="Times New Roman" w:hAnsi="Times New Roman" w:cs="Times New Roman"/>
                <w:sz w:val="20"/>
                <w:szCs w:val="20"/>
                <w:lang w:val="en-GB" w:eastAsia="en-GB"/>
              </w:rPr>
              <w:t>.</w:t>
            </w:r>
          </w:p>
        </w:tc>
        <w:tc>
          <w:tcPr>
            <w:tcW w:w="1231" w:type="pct"/>
            <w:tcBorders>
              <w:top w:val="single" w:sz="4" w:space="0" w:color="auto"/>
              <w:left w:val="single" w:sz="4" w:space="0" w:color="auto"/>
              <w:bottom w:val="single" w:sz="4" w:space="0" w:color="auto"/>
              <w:right w:val="single" w:sz="4" w:space="0" w:color="auto"/>
            </w:tcBorders>
          </w:tcPr>
          <w:p w14:paraId="0BA460B2"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en-GB" w:eastAsia="en-GB"/>
              </w:rPr>
              <w:t>НА ПОСТУПАК ОСТВАРИВАЊА ПРАВА НА ПО</w:t>
            </w:r>
            <w:r w:rsidRPr="008F0CED">
              <w:rPr>
                <w:rFonts w:ascii="Times New Roman" w:hAnsi="Times New Roman" w:cs="Times New Roman"/>
                <w:sz w:val="20"/>
                <w:szCs w:val="20"/>
                <w:lang w:val="sr-Cyrl-RS" w:eastAsia="en-GB"/>
              </w:rPr>
              <w:t>НОВНУ УПОТРЕБУ ПОДАТАКА ПРИМЕЊУЈУ СЕ ОДРЕДБЕ ЗАКОНА КОЈИМ СЕ УРЕЂУЈЕ УПРАВНИ ПОСТУПАК.</w:t>
            </w:r>
          </w:p>
        </w:tc>
        <w:tc>
          <w:tcPr>
            <w:tcW w:w="442" w:type="pct"/>
            <w:tcBorders>
              <w:top w:val="single" w:sz="4" w:space="0" w:color="auto"/>
              <w:left w:val="single" w:sz="4" w:space="0" w:color="auto"/>
              <w:bottom w:val="single" w:sz="4" w:space="0" w:color="auto"/>
              <w:right w:val="single" w:sz="4" w:space="0" w:color="auto"/>
            </w:tcBorders>
          </w:tcPr>
          <w:p w14:paraId="3C1E4A5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71166529"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0333BE46"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731737F4"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Рокови прописани Законом о општем управном поступку - рок је 30 дана  за непосредно одлучивање.</w:t>
            </w:r>
          </w:p>
        </w:tc>
      </w:tr>
      <w:tr w:rsidR="008F0CED" w:rsidRPr="008F0CED" w14:paraId="60B6E03E"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5D89D29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4.3.</w:t>
            </w:r>
          </w:p>
        </w:tc>
        <w:tc>
          <w:tcPr>
            <w:tcW w:w="945" w:type="pct"/>
            <w:tcBorders>
              <w:top w:val="single" w:sz="4" w:space="0" w:color="auto"/>
              <w:left w:val="single" w:sz="4" w:space="0" w:color="auto"/>
              <w:bottom w:val="single" w:sz="4" w:space="0" w:color="auto"/>
              <w:right w:val="single" w:sz="4" w:space="0" w:color="auto"/>
            </w:tcBorders>
          </w:tcPr>
          <w:p w14:paraId="0B60492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3.In the event of a negative decision, the public sector bodies shall communicate the grounds for refusal to the applicant on the basis of the relevant provisions of the access regime in that Member State or of the provisions transposing this Directive, in particular points (a) to (h) of Article 1(2) or Article 3. Where a negative decision is based on point (c) of Article 1(2), the public sector body shall include a reference to the natural or legal person who is the rightsholder, where known, or alternatively to the licensor from which the public sector body has obtained the relevant material. Libraries, including university libraries, museums and archives, shall not be required to include such a reference.</w:t>
            </w:r>
          </w:p>
        </w:tc>
        <w:tc>
          <w:tcPr>
            <w:tcW w:w="324" w:type="pct"/>
            <w:tcBorders>
              <w:top w:val="single" w:sz="4" w:space="0" w:color="auto"/>
              <w:left w:val="single" w:sz="4" w:space="0" w:color="auto"/>
              <w:bottom w:val="single" w:sz="4" w:space="0" w:color="auto"/>
              <w:right w:val="single" w:sz="4" w:space="0" w:color="auto"/>
            </w:tcBorders>
          </w:tcPr>
          <w:p w14:paraId="07E2A799"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26а </w:t>
            </w:r>
            <w:r w:rsidRPr="008F0CED">
              <w:rPr>
                <w:rFonts w:ascii="Times New Roman" w:hAnsi="Times New Roman" w:cs="Times New Roman"/>
                <w:sz w:val="20"/>
                <w:szCs w:val="20"/>
                <w:lang w:val="sr-Cyrl-RS" w:eastAsia="en-GB"/>
              </w:rPr>
              <w:t>8</w:t>
            </w:r>
            <w:r w:rsidRPr="008F0CED">
              <w:rPr>
                <w:rFonts w:ascii="Times New Roman" w:hAnsi="Times New Roman" w:cs="Times New Roman"/>
                <w:sz w:val="20"/>
                <w:szCs w:val="20"/>
                <w:lang w:val="en-GB" w:eastAsia="en-GB"/>
              </w:rPr>
              <w:t>.</w:t>
            </w:r>
          </w:p>
          <w:p w14:paraId="1D4450EE"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26а 9.</w:t>
            </w:r>
          </w:p>
          <w:p w14:paraId="60E184B7"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46AD3A8B"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7EABCD1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1FE71EE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009A5FD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3D5A6FC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517DF3A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67F8A62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490C171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6FDF9CA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7089D329"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7276CF17"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52F3A7A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6873AD1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38C391F6"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41C35EF6"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7F1EDFFA"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5E83672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7218AA8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37526D0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702CC4A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0081668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7F48236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0D844EF7"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ОРГАН МОЖЕ ОДБИТИ ЗАХТЕВ ЗА ПОНОВНУ УПОТРЕБУ ПОДАТАКА АКО СЕ ЗАХТЕВ ОДНОСИ НА ПОДАТКЕ ИЗ ЧЛАНА 25. СТАВ 3. ОВОГ ЗАКОНА.</w:t>
            </w:r>
          </w:p>
          <w:p w14:paraId="27D61F7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ОРГАН КОЈИ ОДБИЈЕ ЗАХТЕВ ЗА ПОНОВНУ УПОТРЕБУ ПОДАТАКА ЗБОГ ЗАШТИТЕ ПРАВА ИНТЕЛЕКТУАЛНЕ СВОЈИНЕ, ДУЖАН ЈЕ ДА ПРУЖИ ИНФОРМАЦИЈЕ О НОСИОЦУ ПРАВА ИНТЕЛЕКТУАЛНЕ СВОЈИНЕ УКОЛИКО МУ ЈЕ ПОЗНАТ, ОДНОСНО О ЛИЦУ КОЈЕ ЈЕ ОРГАНУ ПРЕНЕЛО ПРАВА ИНТЕЛЕКТУАЛНЕ СВОЈИНЕ У СКЛАДУ СА ПРОПИСИМА КОЈИМА СЕ УРЕЂУЈУ ПРАВА ИНТЕЛЕКТУАЛНЕ СВОЈИНЕ.</w:t>
            </w:r>
          </w:p>
        </w:tc>
        <w:tc>
          <w:tcPr>
            <w:tcW w:w="442" w:type="pct"/>
            <w:tcBorders>
              <w:top w:val="single" w:sz="4" w:space="0" w:color="auto"/>
              <w:left w:val="single" w:sz="4" w:space="0" w:color="auto"/>
              <w:bottom w:val="single" w:sz="4" w:space="0" w:color="auto"/>
              <w:right w:val="single" w:sz="4" w:space="0" w:color="auto"/>
            </w:tcBorders>
          </w:tcPr>
          <w:p w14:paraId="5C82DC5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234CF9D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5B18571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4FD2B00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6B3B4C5B"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62C5881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4.4.</w:t>
            </w:r>
          </w:p>
        </w:tc>
        <w:tc>
          <w:tcPr>
            <w:tcW w:w="945" w:type="pct"/>
            <w:tcBorders>
              <w:top w:val="single" w:sz="4" w:space="0" w:color="auto"/>
              <w:left w:val="single" w:sz="4" w:space="0" w:color="auto"/>
              <w:bottom w:val="single" w:sz="4" w:space="0" w:color="auto"/>
              <w:right w:val="single" w:sz="4" w:space="0" w:color="auto"/>
            </w:tcBorders>
          </w:tcPr>
          <w:p w14:paraId="4F036EF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4.Any decision on re-use shall contain a reference to the means of redress where the applicant wishes to challenge the decision. The means of redress shall include the possibility of review by an impartial review body with the appropriate expertise, such as the national competition authority, the relevant access to documents authority, the supervisory authority established in accordance with Regulation (EU) 2016/679 or a national judicial authority, whose decisions are binding upon the public sector body concerned.</w:t>
            </w:r>
          </w:p>
        </w:tc>
        <w:tc>
          <w:tcPr>
            <w:tcW w:w="324" w:type="pct"/>
            <w:tcBorders>
              <w:top w:val="single" w:sz="4" w:space="0" w:color="auto"/>
              <w:left w:val="single" w:sz="4" w:space="0" w:color="auto"/>
              <w:bottom w:val="single" w:sz="4" w:space="0" w:color="auto"/>
              <w:right w:val="single" w:sz="4" w:space="0" w:color="auto"/>
            </w:tcBorders>
          </w:tcPr>
          <w:p w14:paraId="51C5D16D"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26а 4.</w:t>
            </w:r>
          </w:p>
          <w:p w14:paraId="2D00238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7960DA1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139ADC6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37070D0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248C8231"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en-GB" w:eastAsia="en-GB"/>
              </w:rPr>
              <w:t>НА ПОСТУПАК ОСТВАРИВАЊА ПРАВА НА ПО</w:t>
            </w:r>
            <w:r w:rsidRPr="008F0CED">
              <w:rPr>
                <w:rFonts w:ascii="Times New Roman" w:hAnsi="Times New Roman" w:cs="Times New Roman"/>
                <w:sz w:val="20"/>
                <w:szCs w:val="20"/>
                <w:lang w:val="sr-Cyrl-RS" w:eastAsia="en-GB"/>
              </w:rPr>
              <w:t>НОВНУ УПОТРЕБУ ПОДАТАКА ПРИМЕЊУЈУ СЕ ОДРЕДБЕ ЗАКОНА КОЈИМ СЕ УРЕЂУЈЕ УПРАВНИ ПОСТУПАК.</w:t>
            </w:r>
          </w:p>
          <w:p w14:paraId="3D6B5CC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5AD41DD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168A3E4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50846DA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036F9888"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Општи принцип Закона о општем управном поступку – надлежан управни суд.</w:t>
            </w:r>
          </w:p>
        </w:tc>
      </w:tr>
      <w:tr w:rsidR="008F0CED" w:rsidRPr="008F0CED" w14:paraId="5C15D049"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5CED2CA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4.5.</w:t>
            </w:r>
          </w:p>
        </w:tc>
        <w:tc>
          <w:tcPr>
            <w:tcW w:w="945" w:type="pct"/>
            <w:tcBorders>
              <w:top w:val="single" w:sz="4" w:space="0" w:color="auto"/>
              <w:left w:val="single" w:sz="4" w:space="0" w:color="auto"/>
              <w:bottom w:val="single" w:sz="4" w:space="0" w:color="auto"/>
              <w:right w:val="single" w:sz="4" w:space="0" w:color="auto"/>
            </w:tcBorders>
          </w:tcPr>
          <w:p w14:paraId="11D7DF2A"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5.For the purposes of this Article, Member States shall establish practical arrangements to facilitate effective re-use of documents. Those arrangements may in particular include the means to supply adequate information on the rights provided for in this Directive and to offer relevant assistance and guidance.</w:t>
            </w:r>
          </w:p>
        </w:tc>
        <w:tc>
          <w:tcPr>
            <w:tcW w:w="324" w:type="pct"/>
            <w:tcBorders>
              <w:top w:val="single" w:sz="4" w:space="0" w:color="auto"/>
              <w:left w:val="single" w:sz="4" w:space="0" w:color="auto"/>
              <w:bottom w:val="single" w:sz="4" w:space="0" w:color="auto"/>
              <w:right w:val="single" w:sz="4" w:space="0" w:color="auto"/>
            </w:tcBorders>
          </w:tcPr>
          <w:p w14:paraId="2198FA7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25.7.</w:t>
            </w:r>
          </w:p>
        </w:tc>
        <w:tc>
          <w:tcPr>
            <w:tcW w:w="1231" w:type="pct"/>
            <w:tcBorders>
              <w:top w:val="single" w:sz="4" w:space="0" w:color="auto"/>
              <w:left w:val="single" w:sz="4" w:space="0" w:color="auto"/>
              <w:bottom w:val="single" w:sz="4" w:space="0" w:color="auto"/>
              <w:right w:val="single" w:sz="4" w:space="0" w:color="auto"/>
            </w:tcBorders>
          </w:tcPr>
          <w:p w14:paraId="04CD878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ОРГАН ЈЕ ДУЖАН ДА ОДРЕДИ ЛИЦЕ ЗА ПОНОВНУ УПОТРЕБУ </w:t>
            </w:r>
            <w:r w:rsidRPr="008F0CED">
              <w:rPr>
                <w:rFonts w:ascii="Times New Roman" w:hAnsi="Times New Roman" w:cs="Times New Roman"/>
                <w:sz w:val="20"/>
                <w:szCs w:val="20"/>
                <w:lang w:val="sr-Cyrl-RS" w:eastAsia="en-GB"/>
              </w:rPr>
              <w:t xml:space="preserve">И </w:t>
            </w:r>
            <w:r w:rsidRPr="008F0CED">
              <w:rPr>
                <w:rFonts w:ascii="Times New Roman" w:hAnsi="Times New Roman" w:cs="Times New Roman"/>
                <w:sz w:val="20"/>
                <w:szCs w:val="20"/>
                <w:lang w:val="en-GB" w:eastAsia="en-GB"/>
              </w:rPr>
              <w:t>ОТВАРАЊЕ ПОДАТАКА И ДА ПОДАТКЕ О ТОМ ЛИЦУ ОБЈАВИ НА ВЕБ ПРЕЗЕНТАЦИЈИ ОРГАНА.</w:t>
            </w:r>
          </w:p>
          <w:p w14:paraId="5BD49616"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058EC09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507FC26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5051462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58FC249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59B8B16B"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4BE4694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4.6.</w:t>
            </w:r>
          </w:p>
        </w:tc>
        <w:tc>
          <w:tcPr>
            <w:tcW w:w="945" w:type="pct"/>
            <w:tcBorders>
              <w:top w:val="single" w:sz="4" w:space="0" w:color="auto"/>
              <w:left w:val="single" w:sz="4" w:space="0" w:color="auto"/>
              <w:bottom w:val="single" w:sz="4" w:space="0" w:color="auto"/>
              <w:right w:val="single" w:sz="4" w:space="0" w:color="auto"/>
            </w:tcBorders>
          </w:tcPr>
          <w:p w14:paraId="14A7535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6.The following entities shall not be required to comply with this Article: (a) public undertakings; (b) educational establishments, research performing organisations and research funding organisations.</w:t>
            </w:r>
          </w:p>
        </w:tc>
        <w:tc>
          <w:tcPr>
            <w:tcW w:w="324" w:type="pct"/>
            <w:tcBorders>
              <w:top w:val="single" w:sz="4" w:space="0" w:color="auto"/>
              <w:left w:val="single" w:sz="4" w:space="0" w:color="auto"/>
              <w:bottom w:val="single" w:sz="4" w:space="0" w:color="auto"/>
              <w:right w:val="single" w:sz="4" w:space="0" w:color="auto"/>
            </w:tcBorders>
          </w:tcPr>
          <w:p w14:paraId="7235BB59"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126137C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36A4825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НП</w:t>
            </w:r>
          </w:p>
        </w:tc>
        <w:tc>
          <w:tcPr>
            <w:tcW w:w="599" w:type="pct"/>
            <w:gridSpan w:val="2"/>
            <w:tcBorders>
              <w:top w:val="single" w:sz="4" w:space="0" w:color="auto"/>
              <w:left w:val="single" w:sz="4" w:space="0" w:color="auto"/>
              <w:bottom w:val="single" w:sz="4" w:space="0" w:color="auto"/>
              <w:right w:val="single" w:sz="4" w:space="0" w:color="auto"/>
            </w:tcBorders>
          </w:tcPr>
          <w:p w14:paraId="60280E6D"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Закон о електронској управи није у складу са цитираним чланом/ставом/ тачком. Не садржи овај изузетак.</w:t>
            </w:r>
          </w:p>
        </w:tc>
        <w:tc>
          <w:tcPr>
            <w:tcW w:w="513" w:type="pct"/>
            <w:tcBorders>
              <w:top w:val="single" w:sz="4" w:space="0" w:color="auto"/>
              <w:left w:val="single" w:sz="4" w:space="0" w:color="auto"/>
              <w:bottom w:val="single" w:sz="4" w:space="0" w:color="auto"/>
              <w:right w:val="single" w:sz="4" w:space="0" w:color="auto"/>
            </w:tcBorders>
          </w:tcPr>
          <w:p w14:paraId="7BBE63D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5209B6DA"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Практична последица изузетка је да за податке за које се може позитивно одговорити, ови органи не би имали обавезу да поступају по захтеву.</w:t>
            </w:r>
          </w:p>
        </w:tc>
      </w:tr>
      <w:tr w:rsidR="008F0CED" w:rsidRPr="008F0CED" w14:paraId="1429A249"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D7B491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5.1</w:t>
            </w:r>
          </w:p>
        </w:tc>
        <w:tc>
          <w:tcPr>
            <w:tcW w:w="945" w:type="pct"/>
            <w:tcBorders>
              <w:top w:val="single" w:sz="4" w:space="0" w:color="auto"/>
              <w:left w:val="single" w:sz="4" w:space="0" w:color="auto"/>
              <w:bottom w:val="single" w:sz="4" w:space="0" w:color="auto"/>
              <w:right w:val="single" w:sz="4" w:space="0" w:color="auto"/>
            </w:tcBorders>
          </w:tcPr>
          <w:p w14:paraId="1DB09EF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1.Without prejudice to Chapter V, public sector bodies and public undertakings shall make their documents available in any pre-existing format or language and, where possible and appropriate, by electronic means, in formats that are open, machine-readable, accessible, findable and re-usable, together with their metadata. Both the format and the metadata shall, where possible, comply with formal open standards.</w:t>
            </w:r>
          </w:p>
        </w:tc>
        <w:tc>
          <w:tcPr>
            <w:tcW w:w="324" w:type="pct"/>
            <w:tcBorders>
              <w:top w:val="single" w:sz="4" w:space="0" w:color="auto"/>
              <w:left w:val="single" w:sz="4" w:space="0" w:color="auto"/>
              <w:bottom w:val="single" w:sz="4" w:space="0" w:color="auto"/>
              <w:right w:val="single" w:sz="4" w:space="0" w:color="auto"/>
            </w:tcBorders>
          </w:tcPr>
          <w:p w14:paraId="1BCE99B6"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26</w:t>
            </w:r>
            <w:r w:rsidRPr="008F0CED">
              <w:rPr>
                <w:rFonts w:ascii="Times New Roman" w:hAnsi="Times New Roman" w:cs="Times New Roman"/>
                <w:sz w:val="20"/>
                <w:szCs w:val="20"/>
                <w:lang w:val="sr-Cyrl-RS" w:eastAsia="en-GB"/>
              </w:rPr>
              <w:t>а</w:t>
            </w:r>
            <w:r w:rsidRPr="008F0CED">
              <w:rPr>
                <w:rFonts w:ascii="Times New Roman" w:hAnsi="Times New Roman" w:cs="Times New Roman"/>
                <w:sz w:val="20"/>
                <w:szCs w:val="20"/>
                <w:lang w:val="en-GB" w:eastAsia="en-GB"/>
              </w:rPr>
              <w:t>.</w:t>
            </w:r>
            <w:r w:rsidRPr="008F0CED">
              <w:rPr>
                <w:rFonts w:ascii="Times New Roman" w:hAnsi="Times New Roman" w:cs="Times New Roman"/>
                <w:sz w:val="20"/>
                <w:szCs w:val="20"/>
                <w:lang w:val="sr-Cyrl-RS" w:eastAsia="en-GB"/>
              </w:rPr>
              <w:t>5</w:t>
            </w:r>
            <w:r w:rsidRPr="008F0CED">
              <w:rPr>
                <w:rFonts w:ascii="Times New Roman" w:hAnsi="Times New Roman" w:cs="Times New Roman"/>
                <w:sz w:val="20"/>
                <w:szCs w:val="20"/>
                <w:lang w:val="en-GB" w:eastAsia="en-GB"/>
              </w:rPr>
              <w:t>.</w:t>
            </w:r>
          </w:p>
          <w:p w14:paraId="5FEB8EE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27.1.</w:t>
            </w:r>
          </w:p>
          <w:p w14:paraId="6AD5AE5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228F61C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71A7057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2F891E2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3A560D3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1246C5EA"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402352F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26318C1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55D926F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У СКЛАДУ СА ЗАХТЕВОМ </w:t>
            </w:r>
            <w:r w:rsidRPr="008F0CED">
              <w:rPr>
                <w:rFonts w:ascii="Times New Roman" w:hAnsi="Times New Roman" w:cs="Times New Roman"/>
                <w:sz w:val="20"/>
                <w:szCs w:val="20"/>
                <w:lang w:val="sr-Cyrl-RS" w:eastAsia="en-GB"/>
              </w:rPr>
              <w:t>ПОДНОСИОЦА</w:t>
            </w:r>
            <w:r w:rsidRPr="008F0CED">
              <w:rPr>
                <w:rFonts w:ascii="Times New Roman" w:hAnsi="Times New Roman" w:cs="Times New Roman"/>
                <w:sz w:val="20"/>
                <w:szCs w:val="20"/>
                <w:lang w:val="en-GB" w:eastAsia="en-GB"/>
              </w:rPr>
              <w:t>, ОРГАН ЋЕ ПОДАТКЕ ЗА ПОНОВНУ УПОТРЕБУ УЧИНИТИ ДОСТУПНИМ У МАШИНСКИ ЧИТЉИВОМ И ОТВОРЕНОМ ОБЛИКУ С ЊИХОВИМ МЕТАПОДАЦИМА, УКОЛИКО ЈЕ ТО ТЕХНИЧКИ МОГУЋЕ.</w:t>
            </w:r>
          </w:p>
          <w:p w14:paraId="06B82022"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proofErr w:type="spellStart"/>
            <w:r w:rsidRPr="008F0CED">
              <w:rPr>
                <w:rFonts w:ascii="Times New Roman" w:hAnsi="Times New Roman" w:cs="Times New Roman"/>
                <w:sz w:val="20"/>
                <w:szCs w:val="20"/>
                <w:lang w:val="en-GB" w:eastAsia="en-GB"/>
              </w:rPr>
              <w:t>Орган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дужан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Порталу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отворених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података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објављује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отворене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податке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из</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делокруга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своје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надлежности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начин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омогућава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њихово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лако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претраживање</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поновну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употребу</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СКЛАДУ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СА</w:t>
            </w:r>
            <w:proofErr w:type="spellEnd"/>
            <w:r w:rsidRPr="008F0CED">
              <w:rPr>
                <w:rFonts w:ascii="Times New Roman" w:hAnsi="Times New Roman" w:cs="Times New Roman"/>
                <w:sz w:val="20"/>
                <w:szCs w:val="20"/>
                <w:lang w:val="en-GB" w:eastAsia="en-GB"/>
              </w:rPr>
              <w:t xml:space="preserve"> ОТВОРЕНИМ СТАНДАРДОМ</w:t>
            </w:r>
            <w:r w:rsidRPr="008F0CED">
              <w:rPr>
                <w:rFonts w:ascii="Times New Roman" w:hAnsi="Times New Roman" w:cs="Times New Roman"/>
                <w:sz w:val="20"/>
                <w:szCs w:val="20"/>
                <w:lang w:val="sr-Cyrl-RS" w:eastAsia="en-GB"/>
              </w:rPr>
              <w:t>.</w:t>
            </w:r>
          </w:p>
        </w:tc>
        <w:tc>
          <w:tcPr>
            <w:tcW w:w="442" w:type="pct"/>
            <w:tcBorders>
              <w:top w:val="single" w:sz="4" w:space="0" w:color="auto"/>
              <w:left w:val="single" w:sz="4" w:space="0" w:color="auto"/>
              <w:bottom w:val="single" w:sz="4" w:space="0" w:color="auto"/>
              <w:right w:val="single" w:sz="4" w:space="0" w:color="auto"/>
            </w:tcBorders>
          </w:tcPr>
          <w:p w14:paraId="60B5626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298C45F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Latn-RS" w:eastAsia="en-GB"/>
              </w:rPr>
            </w:pPr>
          </w:p>
        </w:tc>
        <w:tc>
          <w:tcPr>
            <w:tcW w:w="513" w:type="pct"/>
            <w:tcBorders>
              <w:top w:val="single" w:sz="4" w:space="0" w:color="auto"/>
              <w:left w:val="single" w:sz="4" w:space="0" w:color="auto"/>
              <w:bottom w:val="single" w:sz="4" w:space="0" w:color="auto"/>
              <w:right w:val="single" w:sz="4" w:space="0" w:color="auto"/>
            </w:tcBorders>
          </w:tcPr>
          <w:p w14:paraId="05659C1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26227D3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27DFC640"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C438A1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5.2.</w:t>
            </w:r>
          </w:p>
        </w:tc>
        <w:tc>
          <w:tcPr>
            <w:tcW w:w="945" w:type="pct"/>
            <w:tcBorders>
              <w:top w:val="single" w:sz="4" w:space="0" w:color="auto"/>
              <w:left w:val="single" w:sz="4" w:space="0" w:color="auto"/>
              <w:bottom w:val="single" w:sz="4" w:space="0" w:color="auto"/>
              <w:right w:val="single" w:sz="4" w:space="0" w:color="auto"/>
            </w:tcBorders>
          </w:tcPr>
          <w:p w14:paraId="66143C7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2.Member States shall encourage public sector bodies and public undertakings to produce and make available documents falling within the scope of this Directive in accordance with the principle of ‘open by design and by default’.</w:t>
            </w:r>
          </w:p>
        </w:tc>
        <w:tc>
          <w:tcPr>
            <w:tcW w:w="324" w:type="pct"/>
            <w:tcBorders>
              <w:top w:val="single" w:sz="4" w:space="0" w:color="auto"/>
              <w:left w:val="single" w:sz="4" w:space="0" w:color="auto"/>
              <w:bottom w:val="single" w:sz="4" w:space="0" w:color="auto"/>
              <w:right w:val="single" w:sz="4" w:space="0" w:color="auto"/>
            </w:tcBorders>
          </w:tcPr>
          <w:p w14:paraId="3161557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7E195A39"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2DA7374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НП</w:t>
            </w:r>
          </w:p>
        </w:tc>
        <w:tc>
          <w:tcPr>
            <w:tcW w:w="599" w:type="pct"/>
            <w:gridSpan w:val="2"/>
            <w:tcBorders>
              <w:top w:val="single" w:sz="4" w:space="0" w:color="auto"/>
              <w:left w:val="single" w:sz="4" w:space="0" w:color="auto"/>
              <w:bottom w:val="single" w:sz="4" w:space="0" w:color="auto"/>
              <w:right w:val="single" w:sz="4" w:space="0" w:color="auto"/>
            </w:tcBorders>
          </w:tcPr>
          <w:p w14:paraId="0300F205"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56515F04"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Одредба не садржи обавезе, само препоруке.</w:t>
            </w:r>
          </w:p>
        </w:tc>
        <w:tc>
          <w:tcPr>
            <w:tcW w:w="535" w:type="pct"/>
            <w:tcBorders>
              <w:top w:val="single" w:sz="4" w:space="0" w:color="auto"/>
              <w:left w:val="single" w:sz="4" w:space="0" w:color="auto"/>
              <w:bottom w:val="single" w:sz="4" w:space="0" w:color="auto"/>
              <w:right w:val="single" w:sz="4" w:space="0" w:color="auto"/>
            </w:tcBorders>
          </w:tcPr>
          <w:p w14:paraId="0AB6F4F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7C280AEB"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4EC5530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5.3.</w:t>
            </w:r>
          </w:p>
        </w:tc>
        <w:tc>
          <w:tcPr>
            <w:tcW w:w="945" w:type="pct"/>
            <w:tcBorders>
              <w:top w:val="single" w:sz="4" w:space="0" w:color="auto"/>
              <w:left w:val="single" w:sz="4" w:space="0" w:color="auto"/>
              <w:bottom w:val="single" w:sz="4" w:space="0" w:color="auto"/>
              <w:right w:val="single" w:sz="4" w:space="0" w:color="auto"/>
            </w:tcBorders>
          </w:tcPr>
          <w:p w14:paraId="030EFBDA"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3.Paragraph 1 shall not imply an obligation for public sector bodies to create or adapt documents or provide extracts in order to comply with that paragraph where this would involve disproportionate effort, going beyond a simple operation.</w:t>
            </w:r>
          </w:p>
        </w:tc>
        <w:tc>
          <w:tcPr>
            <w:tcW w:w="324" w:type="pct"/>
            <w:tcBorders>
              <w:top w:val="single" w:sz="4" w:space="0" w:color="auto"/>
              <w:left w:val="single" w:sz="4" w:space="0" w:color="auto"/>
              <w:bottom w:val="single" w:sz="4" w:space="0" w:color="auto"/>
              <w:right w:val="single" w:sz="4" w:space="0" w:color="auto"/>
            </w:tcBorders>
          </w:tcPr>
          <w:p w14:paraId="70E0988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26а 5.</w:t>
            </w:r>
          </w:p>
        </w:tc>
        <w:tc>
          <w:tcPr>
            <w:tcW w:w="1231" w:type="pct"/>
            <w:tcBorders>
              <w:top w:val="single" w:sz="4" w:space="0" w:color="auto"/>
              <w:left w:val="single" w:sz="4" w:space="0" w:color="auto"/>
              <w:bottom w:val="single" w:sz="4" w:space="0" w:color="auto"/>
              <w:right w:val="single" w:sz="4" w:space="0" w:color="auto"/>
            </w:tcBorders>
          </w:tcPr>
          <w:p w14:paraId="73489E67"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У </w:t>
            </w:r>
            <w:proofErr w:type="spellStart"/>
            <w:r w:rsidRPr="008F0CED">
              <w:rPr>
                <w:rFonts w:ascii="Times New Roman" w:hAnsi="Times New Roman" w:cs="Times New Roman"/>
                <w:sz w:val="20"/>
                <w:szCs w:val="20"/>
                <w:lang w:val="en-GB" w:eastAsia="en-GB"/>
              </w:rPr>
              <w:t>сврху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поновне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употребе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орган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нема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обавезу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отворене</w:t>
            </w:r>
            <w:proofErr w:type="spellEnd"/>
            <w:r w:rsidRPr="008F0CED">
              <w:rPr>
                <w:rFonts w:ascii="Times New Roman" w:hAnsi="Times New Roman" w:cs="Times New Roman"/>
                <w:sz w:val="20"/>
                <w:szCs w:val="20"/>
                <w:lang w:val="en-GB" w:eastAsia="en-GB"/>
              </w:rPr>
              <w:t xml:space="preserve"> </w:t>
            </w:r>
            <w:proofErr w:type="spellStart"/>
            <w:proofErr w:type="gramStart"/>
            <w:r w:rsidRPr="008F0CED">
              <w:rPr>
                <w:rFonts w:ascii="Times New Roman" w:hAnsi="Times New Roman" w:cs="Times New Roman"/>
                <w:sz w:val="20"/>
                <w:szCs w:val="20"/>
                <w:lang w:val="en-GB" w:eastAsia="en-GB"/>
              </w:rPr>
              <w:t>податке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изради</w:t>
            </w:r>
            <w:proofErr w:type="spellEnd"/>
            <w:proofErr w:type="gram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или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прилагоди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ОДНОСНО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ИЗДВОЈИ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ако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то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захтева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несразмеран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утрошак</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времена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или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средстава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НИТИ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ЈЕ</w:t>
            </w:r>
            <w:proofErr w:type="spellEnd"/>
            <w:r w:rsidRPr="008F0CED">
              <w:rPr>
                <w:rFonts w:ascii="Times New Roman" w:hAnsi="Times New Roman" w:cs="Times New Roman"/>
                <w:sz w:val="20"/>
                <w:szCs w:val="20"/>
                <w:lang w:val="en-GB" w:eastAsia="en-GB"/>
              </w:rPr>
              <w:t xml:space="preserve"> ДУЖАН ДА НАСТАВИ АЖУРИРАЊЕ, НАДОГРАЂИВАЊЕ ИЛИ ЧУВАЊЕ ЗАХТЕВАНИХ ПОДАТАКА.</w:t>
            </w:r>
          </w:p>
        </w:tc>
        <w:tc>
          <w:tcPr>
            <w:tcW w:w="442" w:type="pct"/>
            <w:tcBorders>
              <w:top w:val="single" w:sz="4" w:space="0" w:color="auto"/>
              <w:left w:val="single" w:sz="4" w:space="0" w:color="auto"/>
              <w:bottom w:val="single" w:sz="4" w:space="0" w:color="auto"/>
              <w:right w:val="single" w:sz="4" w:space="0" w:color="auto"/>
            </w:tcBorders>
          </w:tcPr>
          <w:p w14:paraId="43F1D61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2FAE45B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p>
        </w:tc>
        <w:tc>
          <w:tcPr>
            <w:tcW w:w="513" w:type="pct"/>
            <w:tcBorders>
              <w:top w:val="single" w:sz="4" w:space="0" w:color="auto"/>
              <w:left w:val="single" w:sz="4" w:space="0" w:color="auto"/>
              <w:bottom w:val="single" w:sz="4" w:space="0" w:color="auto"/>
              <w:right w:val="single" w:sz="4" w:space="0" w:color="auto"/>
            </w:tcBorders>
          </w:tcPr>
          <w:p w14:paraId="4BB604E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20E7EAD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4026513D"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2737E60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5.4.</w:t>
            </w:r>
          </w:p>
        </w:tc>
        <w:tc>
          <w:tcPr>
            <w:tcW w:w="945" w:type="pct"/>
            <w:tcBorders>
              <w:top w:val="single" w:sz="4" w:space="0" w:color="auto"/>
              <w:left w:val="single" w:sz="4" w:space="0" w:color="auto"/>
              <w:bottom w:val="single" w:sz="4" w:space="0" w:color="auto"/>
              <w:right w:val="single" w:sz="4" w:space="0" w:color="auto"/>
            </w:tcBorders>
          </w:tcPr>
          <w:p w14:paraId="267FD8A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4.Public sector bodies shall not be required to continue the production and storage of a certain type of document with a view to the re-use of such documents by a private or public sector organisation.</w:t>
            </w:r>
          </w:p>
        </w:tc>
        <w:tc>
          <w:tcPr>
            <w:tcW w:w="324" w:type="pct"/>
            <w:tcBorders>
              <w:top w:val="single" w:sz="4" w:space="0" w:color="auto"/>
              <w:left w:val="single" w:sz="4" w:space="0" w:color="auto"/>
              <w:bottom w:val="single" w:sz="4" w:space="0" w:color="auto"/>
              <w:right w:val="single" w:sz="4" w:space="0" w:color="auto"/>
            </w:tcBorders>
          </w:tcPr>
          <w:p w14:paraId="11A87204"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26а 7.</w:t>
            </w:r>
          </w:p>
        </w:tc>
        <w:tc>
          <w:tcPr>
            <w:tcW w:w="1231" w:type="pct"/>
            <w:tcBorders>
              <w:top w:val="single" w:sz="4" w:space="0" w:color="auto"/>
              <w:left w:val="single" w:sz="4" w:space="0" w:color="auto"/>
              <w:bottom w:val="single" w:sz="4" w:space="0" w:color="auto"/>
              <w:right w:val="single" w:sz="4" w:space="0" w:color="auto"/>
            </w:tcBorders>
          </w:tcPr>
          <w:p w14:paraId="062ABF06"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У </w:t>
            </w:r>
            <w:proofErr w:type="spellStart"/>
            <w:r w:rsidRPr="008F0CED">
              <w:rPr>
                <w:rFonts w:ascii="Times New Roman" w:hAnsi="Times New Roman" w:cs="Times New Roman"/>
                <w:sz w:val="20"/>
                <w:szCs w:val="20"/>
                <w:lang w:val="en-GB" w:eastAsia="en-GB"/>
              </w:rPr>
              <w:t>сврху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поновне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употребе</w:t>
            </w:r>
            <w:proofErr w:type="spellEnd"/>
            <w:r w:rsidRPr="008F0CED">
              <w:rPr>
                <w:rFonts w:ascii="Times New Roman" w:hAnsi="Times New Roman" w:cs="Times New Roman"/>
                <w:sz w:val="20"/>
                <w:szCs w:val="20"/>
                <w:lang w:val="sr-Cyrl-RS" w:eastAsia="en-GB"/>
              </w:rPr>
              <w:t xml:space="preserve"> НА ОСНОВУ ЗАХТЕВА</w:t>
            </w:r>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орган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нема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обавезу</w:t>
            </w:r>
            <w:proofErr w:type="spellEnd"/>
            <w:r w:rsidRPr="008F0CED">
              <w:rPr>
                <w:rFonts w:ascii="Times New Roman" w:hAnsi="Times New Roman" w:cs="Times New Roman"/>
                <w:sz w:val="20"/>
                <w:szCs w:val="20"/>
                <w:lang w:val="en-GB" w:eastAsia="en-GB"/>
              </w:rPr>
              <w:t xml:space="preserve"> д</w:t>
            </w:r>
            <w:r w:rsidRPr="008F0CED">
              <w:rPr>
                <w:rFonts w:ascii="Times New Roman" w:hAnsi="Times New Roman" w:cs="Times New Roman"/>
                <w:sz w:val="20"/>
                <w:szCs w:val="20"/>
                <w:lang w:val="sr-Cyrl-RS" w:eastAsia="en-GB"/>
              </w:rPr>
              <w:t>А</w:t>
            </w:r>
            <w:r w:rsidRPr="008F0CED">
              <w:rPr>
                <w:rFonts w:ascii="Times New Roman" w:hAnsi="Times New Roman" w:cs="Times New Roman"/>
                <w:sz w:val="20"/>
                <w:szCs w:val="20"/>
                <w:lang w:val="en-GB" w:eastAsia="en-GB"/>
              </w:rPr>
              <w:t xml:space="preserve"> </w:t>
            </w:r>
            <w:proofErr w:type="spellStart"/>
            <w:proofErr w:type="gramStart"/>
            <w:r w:rsidRPr="008F0CED">
              <w:rPr>
                <w:rFonts w:ascii="Times New Roman" w:hAnsi="Times New Roman" w:cs="Times New Roman"/>
                <w:sz w:val="20"/>
                <w:szCs w:val="20"/>
                <w:lang w:val="en-GB" w:eastAsia="en-GB"/>
              </w:rPr>
              <w:t>податке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изради</w:t>
            </w:r>
            <w:proofErr w:type="spellEnd"/>
            <w:proofErr w:type="gramEnd"/>
            <w:r w:rsidRPr="008F0CED">
              <w:rPr>
                <w:rFonts w:ascii="Times New Roman" w:hAnsi="Times New Roman" w:cs="Times New Roman"/>
                <w:sz w:val="20"/>
                <w:szCs w:val="20"/>
                <w:lang w:val="sr-Cyrl-RS" w:eastAsia="en-GB"/>
              </w:rPr>
              <w:t xml:space="preserve">, </w:t>
            </w:r>
            <w:proofErr w:type="spellStart"/>
            <w:r w:rsidRPr="008F0CED">
              <w:rPr>
                <w:rFonts w:ascii="Times New Roman" w:hAnsi="Times New Roman" w:cs="Times New Roman"/>
                <w:sz w:val="20"/>
                <w:szCs w:val="20"/>
                <w:lang w:val="en-GB" w:eastAsia="en-GB"/>
              </w:rPr>
              <w:t>прилагоди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ОДНОСНО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ИЗДВОЈИ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ако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то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захтева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несразмеран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утрошак</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времена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или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средстава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НИТИ</w:t>
            </w:r>
            <w:proofErr w:type="spellEnd"/>
            <w:r w:rsidRPr="008F0CED">
              <w:rPr>
                <w:rFonts w:ascii="Times New Roman" w:hAnsi="Times New Roman" w:cs="Times New Roman"/>
                <w:sz w:val="20"/>
                <w:szCs w:val="20"/>
                <w:lang w:val="en-GB" w:eastAsia="en-GB"/>
              </w:rPr>
              <w:t xml:space="preserve"> ЈЕ ДУЖАН ДА НАСТАВИ АЖУРИРАЊЕ, НАДОГРАЂИВАЊЕ ИЛИ ЧУВАЊЕ </w:t>
            </w:r>
            <w:r w:rsidRPr="008F0CED">
              <w:rPr>
                <w:rFonts w:ascii="Times New Roman" w:hAnsi="Times New Roman" w:cs="Times New Roman"/>
                <w:sz w:val="20"/>
                <w:szCs w:val="20"/>
                <w:lang w:val="sr-Cyrl-RS" w:eastAsia="en-GB"/>
              </w:rPr>
              <w:t>ТИХ</w:t>
            </w:r>
            <w:r w:rsidRPr="008F0CED">
              <w:rPr>
                <w:rFonts w:ascii="Times New Roman" w:hAnsi="Times New Roman" w:cs="Times New Roman"/>
                <w:sz w:val="20"/>
                <w:szCs w:val="20"/>
                <w:lang w:val="en-GB" w:eastAsia="en-GB"/>
              </w:rPr>
              <w:t xml:space="preserve"> ПОДАТАКА.</w:t>
            </w:r>
          </w:p>
        </w:tc>
        <w:tc>
          <w:tcPr>
            <w:tcW w:w="442" w:type="pct"/>
            <w:tcBorders>
              <w:top w:val="single" w:sz="4" w:space="0" w:color="auto"/>
              <w:left w:val="single" w:sz="4" w:space="0" w:color="auto"/>
              <w:bottom w:val="single" w:sz="4" w:space="0" w:color="auto"/>
              <w:right w:val="single" w:sz="4" w:space="0" w:color="auto"/>
            </w:tcBorders>
          </w:tcPr>
          <w:p w14:paraId="30EF0C2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5DB28FE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2648942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496844D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2C1B83A1"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907562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5.5.</w:t>
            </w:r>
          </w:p>
        </w:tc>
        <w:tc>
          <w:tcPr>
            <w:tcW w:w="945" w:type="pct"/>
            <w:tcBorders>
              <w:top w:val="single" w:sz="4" w:space="0" w:color="auto"/>
              <w:left w:val="single" w:sz="4" w:space="0" w:color="auto"/>
              <w:bottom w:val="single" w:sz="4" w:space="0" w:color="auto"/>
              <w:right w:val="single" w:sz="4" w:space="0" w:color="auto"/>
            </w:tcBorders>
          </w:tcPr>
          <w:p w14:paraId="498194A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5.Public sector bodies shall make dynamic data available for re-use immediately after collection, via suitable APIs and, where relevant, as a bulk download.</w:t>
            </w:r>
          </w:p>
        </w:tc>
        <w:tc>
          <w:tcPr>
            <w:tcW w:w="324" w:type="pct"/>
            <w:tcBorders>
              <w:top w:val="single" w:sz="4" w:space="0" w:color="auto"/>
              <w:left w:val="single" w:sz="4" w:space="0" w:color="auto"/>
              <w:bottom w:val="single" w:sz="4" w:space="0" w:color="auto"/>
              <w:right w:val="single" w:sz="4" w:space="0" w:color="auto"/>
            </w:tcBorders>
          </w:tcPr>
          <w:p w14:paraId="0B2F9246"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27А.1.</w:t>
            </w:r>
          </w:p>
        </w:tc>
        <w:tc>
          <w:tcPr>
            <w:tcW w:w="1231" w:type="pct"/>
            <w:tcBorders>
              <w:top w:val="single" w:sz="4" w:space="0" w:color="auto"/>
              <w:left w:val="single" w:sz="4" w:space="0" w:color="auto"/>
              <w:bottom w:val="single" w:sz="4" w:space="0" w:color="auto"/>
              <w:right w:val="single" w:sz="4" w:space="0" w:color="auto"/>
            </w:tcBorders>
          </w:tcPr>
          <w:p w14:paraId="3B0B3A3B"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 xml:space="preserve">АКО </w:t>
            </w:r>
            <w:r w:rsidRPr="008F0CED">
              <w:rPr>
                <w:rFonts w:ascii="Times New Roman" w:hAnsi="Times New Roman" w:cs="Times New Roman"/>
                <w:sz w:val="20"/>
                <w:szCs w:val="20"/>
                <w:lang w:val="en-GB" w:eastAsia="en-GB"/>
              </w:rPr>
              <w:t xml:space="preserve">ОРГАН </w:t>
            </w:r>
            <w:r w:rsidRPr="008F0CED">
              <w:rPr>
                <w:rFonts w:ascii="Times New Roman" w:hAnsi="Times New Roman" w:cs="Times New Roman"/>
                <w:sz w:val="20"/>
                <w:szCs w:val="20"/>
                <w:lang w:val="sr-Cyrl-RS" w:eastAsia="en-GB"/>
              </w:rPr>
              <w:t xml:space="preserve">ОБЈАВЉУЈЕ </w:t>
            </w:r>
            <w:r w:rsidRPr="008F0CED">
              <w:rPr>
                <w:rFonts w:ascii="Times New Roman" w:hAnsi="Times New Roman" w:cs="Times New Roman"/>
                <w:sz w:val="20"/>
                <w:szCs w:val="20"/>
                <w:lang w:val="en-GB" w:eastAsia="en-GB"/>
              </w:rPr>
              <w:t xml:space="preserve">ДИНАМИЧКЕ ПОДАТКЕ ЗА ПОНОВНУ УПОТРЕБУ </w:t>
            </w:r>
            <w:r w:rsidRPr="008F0CED">
              <w:rPr>
                <w:rFonts w:ascii="Times New Roman" w:hAnsi="Times New Roman" w:cs="Times New Roman"/>
                <w:sz w:val="20"/>
                <w:szCs w:val="20"/>
                <w:lang w:val="sr-Cyrl-RS" w:eastAsia="en-GB"/>
              </w:rPr>
              <w:t xml:space="preserve">ДУЖАН ЈЕ ДА ИХ </w:t>
            </w:r>
            <w:r w:rsidRPr="008F0CED">
              <w:rPr>
                <w:rFonts w:ascii="Times New Roman" w:hAnsi="Times New Roman" w:cs="Times New Roman"/>
                <w:sz w:val="20"/>
                <w:szCs w:val="20"/>
                <w:lang w:val="en-GB" w:eastAsia="en-GB"/>
              </w:rPr>
              <w:t>ОБЈАВИ НАЈРАНИЈЕ КАДА ЈЕ ТО МОГУЋЕ НАКОН ПРИКУПЉАЊА ПУТЕМ АПЛИКАТИВНОГ ПРОГРАМСКОГ ИНТЕРФЕЈСА И, КАДА ЈЕ МОГУЋЕ, ПУТЕМ МАСОВНОГ ПРЕУЗИМАЊА.</w:t>
            </w:r>
          </w:p>
        </w:tc>
        <w:tc>
          <w:tcPr>
            <w:tcW w:w="442" w:type="pct"/>
            <w:tcBorders>
              <w:top w:val="single" w:sz="4" w:space="0" w:color="auto"/>
              <w:left w:val="single" w:sz="4" w:space="0" w:color="auto"/>
              <w:bottom w:val="single" w:sz="4" w:space="0" w:color="auto"/>
              <w:right w:val="single" w:sz="4" w:space="0" w:color="auto"/>
            </w:tcBorders>
          </w:tcPr>
          <w:p w14:paraId="38C5C91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16C15C0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12F3D04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2E8B2BC9"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2F6472D0"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3695878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5.6. </w:t>
            </w:r>
          </w:p>
        </w:tc>
        <w:tc>
          <w:tcPr>
            <w:tcW w:w="945" w:type="pct"/>
            <w:tcBorders>
              <w:top w:val="single" w:sz="4" w:space="0" w:color="auto"/>
              <w:left w:val="single" w:sz="4" w:space="0" w:color="auto"/>
              <w:bottom w:val="single" w:sz="4" w:space="0" w:color="auto"/>
              <w:right w:val="single" w:sz="4" w:space="0" w:color="auto"/>
            </w:tcBorders>
          </w:tcPr>
          <w:p w14:paraId="217C862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6.Where making dynamic data available for re-use immediately after collection, as referred to in paragraph 5, would exceed the financial and technical capacities of the public sector body, thereby imposing a disproportionate effort, those dynamic data shall be made available for re-use within a time frame or with temporary technical restrictions that do not unduly impair the exploitation of their economic and social potential.</w:t>
            </w:r>
          </w:p>
        </w:tc>
        <w:tc>
          <w:tcPr>
            <w:tcW w:w="324" w:type="pct"/>
            <w:tcBorders>
              <w:top w:val="single" w:sz="4" w:space="0" w:color="auto"/>
              <w:left w:val="single" w:sz="4" w:space="0" w:color="auto"/>
              <w:bottom w:val="single" w:sz="4" w:space="0" w:color="auto"/>
              <w:right w:val="single" w:sz="4" w:space="0" w:color="auto"/>
            </w:tcBorders>
          </w:tcPr>
          <w:p w14:paraId="41327C26"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27А.2.</w:t>
            </w:r>
          </w:p>
        </w:tc>
        <w:tc>
          <w:tcPr>
            <w:tcW w:w="1231" w:type="pct"/>
            <w:tcBorders>
              <w:top w:val="single" w:sz="4" w:space="0" w:color="auto"/>
              <w:left w:val="single" w:sz="4" w:space="0" w:color="auto"/>
              <w:bottom w:val="single" w:sz="4" w:space="0" w:color="auto"/>
              <w:right w:val="single" w:sz="4" w:space="0" w:color="auto"/>
            </w:tcBorders>
          </w:tcPr>
          <w:p w14:paraId="48D1A7A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АКО ОБЈАВЉИВАЊЕ ПОДАТАКА ИЗ СТАВА </w:t>
            </w:r>
            <w:r w:rsidRPr="008F0CED">
              <w:rPr>
                <w:rFonts w:ascii="Times New Roman" w:hAnsi="Times New Roman" w:cs="Times New Roman"/>
                <w:sz w:val="20"/>
                <w:szCs w:val="20"/>
                <w:lang w:val="sr-Cyrl-RS" w:eastAsia="en-GB"/>
              </w:rPr>
              <w:t>1</w:t>
            </w:r>
            <w:r w:rsidRPr="008F0CED">
              <w:rPr>
                <w:rFonts w:ascii="Times New Roman" w:hAnsi="Times New Roman" w:cs="Times New Roman"/>
                <w:sz w:val="20"/>
                <w:szCs w:val="20"/>
                <w:lang w:val="en-GB" w:eastAsia="en-GB"/>
              </w:rPr>
              <w:t xml:space="preserve">. ОВОГ ЧЛАНА ПРЕДСТАВЉА НЕСРАЗМЕРНО ФИНАНСИЈСКО И ТЕХНИЧКО ОПТЕРЕЋЕЊЕ, ОРГАН </w:t>
            </w:r>
            <w:r w:rsidRPr="008F0CED">
              <w:rPr>
                <w:rFonts w:ascii="Times New Roman" w:hAnsi="Times New Roman" w:cs="Times New Roman"/>
                <w:sz w:val="20"/>
                <w:szCs w:val="20"/>
                <w:lang w:val="sr-Cyrl-RS" w:eastAsia="en-GB"/>
              </w:rPr>
              <w:t>МОЖЕ</w:t>
            </w:r>
            <w:r w:rsidRPr="008F0CED">
              <w:rPr>
                <w:rFonts w:ascii="Times New Roman" w:hAnsi="Times New Roman" w:cs="Times New Roman"/>
                <w:sz w:val="20"/>
                <w:szCs w:val="20"/>
                <w:lang w:val="en-GB" w:eastAsia="en-GB"/>
              </w:rPr>
              <w:t xml:space="preserve"> ДА </w:t>
            </w:r>
            <w:r w:rsidRPr="008F0CED">
              <w:rPr>
                <w:rFonts w:ascii="Times New Roman" w:hAnsi="Times New Roman" w:cs="Times New Roman"/>
                <w:sz w:val="20"/>
                <w:szCs w:val="20"/>
                <w:lang w:val="sr-Cyrl-RS" w:eastAsia="en-GB"/>
              </w:rPr>
              <w:t xml:space="preserve">ТЕ </w:t>
            </w:r>
            <w:r w:rsidRPr="008F0CED">
              <w:rPr>
                <w:rFonts w:ascii="Times New Roman" w:hAnsi="Times New Roman" w:cs="Times New Roman"/>
                <w:sz w:val="20"/>
                <w:szCs w:val="20"/>
                <w:lang w:val="en-GB" w:eastAsia="en-GB"/>
              </w:rPr>
              <w:t>ПОДАТКЕ ОБЈАВИ ОДЛОЖЕНО ИЛИ СА ПРИВРЕМЕНИМ ТЕХНИЧКИМ ОГРАНИЧЕЊИМА ТАКО ДА СЕ НЕ УМАЊИ ЊИХОВA ЕКОНОМСКА ИЛИ ДРУШТВЕНА ВРЕДНОСТ.</w:t>
            </w:r>
          </w:p>
        </w:tc>
        <w:tc>
          <w:tcPr>
            <w:tcW w:w="442" w:type="pct"/>
            <w:tcBorders>
              <w:top w:val="single" w:sz="4" w:space="0" w:color="auto"/>
              <w:left w:val="single" w:sz="4" w:space="0" w:color="auto"/>
              <w:bottom w:val="single" w:sz="4" w:space="0" w:color="auto"/>
              <w:right w:val="single" w:sz="4" w:space="0" w:color="auto"/>
            </w:tcBorders>
          </w:tcPr>
          <w:p w14:paraId="2E1A8AF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4B50F30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7B88253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3108885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3726FB39"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3B956849"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5.7.</w:t>
            </w:r>
          </w:p>
        </w:tc>
        <w:tc>
          <w:tcPr>
            <w:tcW w:w="945" w:type="pct"/>
            <w:tcBorders>
              <w:top w:val="single" w:sz="4" w:space="0" w:color="auto"/>
              <w:left w:val="single" w:sz="4" w:space="0" w:color="auto"/>
              <w:bottom w:val="single" w:sz="4" w:space="0" w:color="auto"/>
              <w:right w:val="single" w:sz="4" w:space="0" w:color="auto"/>
            </w:tcBorders>
          </w:tcPr>
          <w:p w14:paraId="6DCE806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7.Paragraphs 1 to 6 shall apply to existing documents held by public undertakings which are available for re-use.</w:t>
            </w:r>
          </w:p>
        </w:tc>
        <w:tc>
          <w:tcPr>
            <w:tcW w:w="324" w:type="pct"/>
            <w:tcBorders>
              <w:top w:val="single" w:sz="4" w:space="0" w:color="auto"/>
              <w:left w:val="single" w:sz="4" w:space="0" w:color="auto"/>
              <w:bottom w:val="single" w:sz="4" w:space="0" w:color="auto"/>
              <w:right w:val="single" w:sz="4" w:space="0" w:color="auto"/>
            </w:tcBorders>
          </w:tcPr>
          <w:p w14:paraId="261FC42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2BB41D8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37DC867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221FBB0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p>
        </w:tc>
        <w:tc>
          <w:tcPr>
            <w:tcW w:w="513" w:type="pct"/>
            <w:tcBorders>
              <w:top w:val="single" w:sz="4" w:space="0" w:color="auto"/>
              <w:left w:val="single" w:sz="4" w:space="0" w:color="auto"/>
              <w:bottom w:val="single" w:sz="4" w:space="0" w:color="auto"/>
              <w:right w:val="single" w:sz="4" w:space="0" w:color="auto"/>
            </w:tcBorders>
          </w:tcPr>
          <w:p w14:paraId="3656EB0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3F839CE6"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Појам „орган“ у смислу овог закона обухвата јавна предузећа.</w:t>
            </w:r>
          </w:p>
        </w:tc>
      </w:tr>
      <w:tr w:rsidR="008F0CED" w:rsidRPr="008F0CED" w14:paraId="6F93DA55"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6D80811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5.8.</w:t>
            </w:r>
          </w:p>
        </w:tc>
        <w:tc>
          <w:tcPr>
            <w:tcW w:w="945" w:type="pct"/>
            <w:tcBorders>
              <w:top w:val="single" w:sz="4" w:space="0" w:color="auto"/>
              <w:left w:val="single" w:sz="4" w:space="0" w:color="auto"/>
              <w:bottom w:val="single" w:sz="4" w:space="0" w:color="auto"/>
              <w:right w:val="single" w:sz="4" w:space="0" w:color="auto"/>
            </w:tcBorders>
          </w:tcPr>
          <w:p w14:paraId="75E6135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8.The high-value datasets, as listed in accordance with Article 14(1) shall be made available for re-use in machine- readable format, via suitable APIs and, where relevant, as a bulk download.</w:t>
            </w:r>
          </w:p>
        </w:tc>
        <w:tc>
          <w:tcPr>
            <w:tcW w:w="324" w:type="pct"/>
            <w:tcBorders>
              <w:top w:val="single" w:sz="4" w:space="0" w:color="auto"/>
              <w:left w:val="single" w:sz="4" w:space="0" w:color="auto"/>
              <w:bottom w:val="single" w:sz="4" w:space="0" w:color="auto"/>
              <w:right w:val="single" w:sz="4" w:space="0" w:color="auto"/>
            </w:tcBorders>
          </w:tcPr>
          <w:p w14:paraId="168100B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27</w:t>
            </w:r>
            <w:r w:rsidRPr="008F0CED">
              <w:rPr>
                <w:rFonts w:ascii="Times New Roman" w:hAnsi="Times New Roman" w:cs="Times New Roman"/>
                <w:sz w:val="20"/>
                <w:szCs w:val="20"/>
                <w:lang w:val="sr-Cyrl-RS" w:eastAsia="en-GB"/>
              </w:rPr>
              <w:t>Б</w:t>
            </w:r>
            <w:r w:rsidRPr="008F0CED">
              <w:rPr>
                <w:rFonts w:ascii="Times New Roman" w:hAnsi="Times New Roman" w:cs="Times New Roman"/>
                <w:sz w:val="20"/>
                <w:szCs w:val="20"/>
                <w:lang w:val="en-GB" w:eastAsia="en-GB"/>
              </w:rPr>
              <w:t>.</w:t>
            </w:r>
            <w:r w:rsidRPr="008F0CED">
              <w:rPr>
                <w:rFonts w:ascii="Times New Roman" w:hAnsi="Times New Roman" w:cs="Times New Roman"/>
                <w:sz w:val="20"/>
                <w:szCs w:val="20"/>
                <w:lang w:val="sr-Cyrl-RS" w:eastAsia="en-GB"/>
              </w:rPr>
              <w:t>2</w:t>
            </w:r>
            <w:r w:rsidRPr="008F0CED">
              <w:rPr>
                <w:rFonts w:ascii="Times New Roman" w:hAnsi="Times New Roman" w:cs="Times New Roman"/>
                <w:sz w:val="20"/>
                <w:szCs w:val="20"/>
                <w:lang w:val="en-GB" w:eastAsia="en-GB"/>
              </w:rPr>
              <w:t>.</w:t>
            </w:r>
          </w:p>
        </w:tc>
        <w:tc>
          <w:tcPr>
            <w:tcW w:w="1231" w:type="pct"/>
            <w:tcBorders>
              <w:top w:val="single" w:sz="4" w:space="0" w:color="auto"/>
              <w:left w:val="single" w:sz="4" w:space="0" w:color="auto"/>
              <w:bottom w:val="single" w:sz="4" w:space="0" w:color="auto"/>
              <w:right w:val="single" w:sz="4" w:space="0" w:color="auto"/>
            </w:tcBorders>
          </w:tcPr>
          <w:p w14:paraId="6E046B87"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СКУПОВИ ПОДАТАКА ОД ПОСЕБНОГ ЗНАЧАЈА ЗА ПОНОВНУ УПОТРЕБУ ДОСТУПНИ СУ:</w:t>
            </w:r>
          </w:p>
          <w:p w14:paraId="3A9E031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 xml:space="preserve">1) </w:t>
            </w:r>
            <w:r w:rsidRPr="008F0CED">
              <w:rPr>
                <w:rFonts w:ascii="Times New Roman" w:hAnsi="Times New Roman" w:cs="Times New Roman"/>
                <w:sz w:val="20"/>
                <w:szCs w:val="20"/>
                <w:lang w:val="en-GB" w:eastAsia="en-GB"/>
              </w:rPr>
              <w:t>БЕЗ НАКНАДЕ;</w:t>
            </w:r>
          </w:p>
          <w:p w14:paraId="5AE97CAB"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 xml:space="preserve">2) </w:t>
            </w:r>
            <w:r w:rsidRPr="008F0CED">
              <w:rPr>
                <w:rFonts w:ascii="Times New Roman" w:hAnsi="Times New Roman" w:cs="Times New Roman"/>
                <w:sz w:val="20"/>
                <w:szCs w:val="20"/>
                <w:lang w:val="en-GB" w:eastAsia="en-GB"/>
              </w:rPr>
              <w:t>У МАШИНСКИ ЧИТЉИВОМ ОБЛИКУ;</w:t>
            </w:r>
          </w:p>
          <w:p w14:paraId="4A609AD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 xml:space="preserve">3) </w:t>
            </w:r>
            <w:r w:rsidRPr="008F0CED">
              <w:rPr>
                <w:rFonts w:ascii="Times New Roman" w:hAnsi="Times New Roman" w:cs="Times New Roman"/>
                <w:sz w:val="20"/>
                <w:szCs w:val="20"/>
                <w:lang w:val="en-GB" w:eastAsia="en-GB"/>
              </w:rPr>
              <w:t>ПУТЕМ МРЕЖНИХ СЕРВИСА;</w:t>
            </w:r>
          </w:p>
          <w:p w14:paraId="7721FBF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4)</w:t>
            </w:r>
            <w:r w:rsidRPr="008F0CED">
              <w:rPr>
                <w:rFonts w:ascii="Times New Roman" w:hAnsi="Times New Roman" w:cs="Times New Roman"/>
                <w:sz w:val="20"/>
                <w:szCs w:val="20"/>
                <w:lang w:val="en-GB" w:eastAsia="en-GB"/>
              </w:rPr>
              <w:t>ЗА МАСОВНО ПРЕУЗИМАЊЕ, КАДА ЈЕ ПРИМЕНЉИВО.</w:t>
            </w:r>
          </w:p>
          <w:p w14:paraId="6DCBC08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3CA571F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32125E8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05C26C8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0EC9D24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03C9A475"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shd w:val="clear" w:color="auto" w:fill="auto"/>
          </w:tcPr>
          <w:p w14:paraId="162BDD1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6.1.</w:t>
            </w:r>
          </w:p>
        </w:tc>
        <w:tc>
          <w:tcPr>
            <w:tcW w:w="945" w:type="pct"/>
            <w:tcBorders>
              <w:top w:val="single" w:sz="4" w:space="0" w:color="auto"/>
              <w:left w:val="single" w:sz="4" w:space="0" w:color="auto"/>
              <w:bottom w:val="single" w:sz="4" w:space="0" w:color="auto"/>
              <w:right w:val="single" w:sz="4" w:space="0" w:color="auto"/>
            </w:tcBorders>
            <w:shd w:val="clear" w:color="auto" w:fill="auto"/>
          </w:tcPr>
          <w:p w14:paraId="2BCDE96A"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1.The re-use of documents shall be free of charge. However, the recovery of the marginal costs incurred for the reproduction, provision and dissemination of documents as well as for anonymisation of personal data and measures taken to protect commercially confidential information may be allowed.</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5805F7A"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26а </w:t>
            </w:r>
            <w:r w:rsidRPr="008F0CED">
              <w:rPr>
                <w:rFonts w:ascii="Times New Roman" w:hAnsi="Times New Roman" w:cs="Times New Roman"/>
                <w:sz w:val="20"/>
                <w:szCs w:val="20"/>
                <w:lang w:val="sr-Cyrl-RS" w:eastAsia="en-GB"/>
              </w:rPr>
              <w:t>10</w:t>
            </w:r>
            <w:r w:rsidRPr="008F0CED">
              <w:rPr>
                <w:rFonts w:ascii="Times New Roman" w:hAnsi="Times New Roman" w:cs="Times New Roman"/>
                <w:sz w:val="20"/>
                <w:szCs w:val="20"/>
                <w:lang w:val="en-GB" w:eastAsia="en-GB"/>
              </w:rPr>
              <w:t>.</w:t>
            </w:r>
          </w:p>
          <w:p w14:paraId="78DB883C"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26а 11.</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1906597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ОРГАН НЕ НАПЛАЋУЈЕ НАКНАДУ ЗА ПОНОВНУ УПОТРЕБУ ПОДАТАКА, ОСИМ АКО ТО ПОСЕБНИМ ЗАКОНОМ НИЈЕ ДРУГАЧИЈЕ УТВРЂЕНО.</w:t>
            </w:r>
          </w:p>
          <w:p w14:paraId="23A3D545"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АКО ОРГАН НАПЛАЋУЈЕ НАКНАДУ ЗА ПОНОВНУ УПОТРЕБУ ПОДАТАКА ИЗНОС ТЕ НАКНАДЕ НЕ СМЕ ПРЕЛАЗИТИ УКУПАН ИЗНОС ТРОШКОВА РЕПРОДУКЦИЈЕ</w:t>
            </w:r>
            <w:proofErr w:type="gramStart"/>
            <w:r w:rsidRPr="008F0CED">
              <w:rPr>
                <w:rFonts w:ascii="Times New Roman" w:hAnsi="Times New Roman" w:cs="Times New Roman"/>
                <w:sz w:val="20"/>
                <w:szCs w:val="20"/>
                <w:lang w:val="en-GB" w:eastAsia="en-GB"/>
              </w:rPr>
              <w:t>,  И</w:t>
            </w:r>
            <w:proofErr w:type="gramEnd"/>
            <w:r w:rsidRPr="008F0CED">
              <w:rPr>
                <w:rFonts w:ascii="Times New Roman" w:hAnsi="Times New Roman" w:cs="Times New Roman"/>
                <w:sz w:val="20"/>
                <w:szCs w:val="20"/>
                <w:lang w:val="en-GB" w:eastAsia="en-GB"/>
              </w:rPr>
              <w:t xml:space="preserve"> ДАВАЊА И ДОСТАВЕ ТИХ ПОДАТАКА, КАО И АНОНИМИЗАЦИЈЕ ПОДАТАКА </w:t>
            </w:r>
            <w:r w:rsidRPr="008F0CED">
              <w:rPr>
                <w:rFonts w:ascii="Times New Roman" w:hAnsi="Times New Roman" w:cs="Times New Roman"/>
                <w:sz w:val="20"/>
                <w:szCs w:val="20"/>
                <w:lang w:val="sr-Cyrl-RS" w:eastAsia="en-GB"/>
              </w:rPr>
              <w:t xml:space="preserve">О </w:t>
            </w:r>
            <w:r w:rsidRPr="008F0CED">
              <w:rPr>
                <w:rFonts w:ascii="Times New Roman" w:hAnsi="Times New Roman" w:cs="Times New Roman"/>
                <w:sz w:val="20"/>
                <w:szCs w:val="20"/>
                <w:lang w:val="en-GB" w:eastAsia="en-GB"/>
              </w:rPr>
              <w:t>ЛИЧ</w:t>
            </w:r>
            <w:r w:rsidRPr="008F0CED">
              <w:rPr>
                <w:rFonts w:ascii="Times New Roman" w:hAnsi="Times New Roman" w:cs="Times New Roman"/>
                <w:sz w:val="20"/>
                <w:szCs w:val="20"/>
                <w:lang w:val="sr-Cyrl-RS" w:eastAsia="en-GB"/>
              </w:rPr>
              <w:t xml:space="preserve">НОСТИ </w:t>
            </w:r>
            <w:r w:rsidRPr="008F0CED">
              <w:rPr>
                <w:rFonts w:ascii="Times New Roman" w:hAnsi="Times New Roman" w:cs="Times New Roman"/>
                <w:sz w:val="20"/>
                <w:szCs w:val="20"/>
                <w:lang w:val="en-GB" w:eastAsia="en-GB"/>
              </w:rPr>
              <w:t>И МЕРА ПРЕДУЗЕТИХ РАДИ ЗАШТИТЕ ПОСЛОВНЕ ТАЈНЕ.</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5F398F2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shd w:val="clear" w:color="auto" w:fill="auto"/>
          </w:tcPr>
          <w:p w14:paraId="3E34E7B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Latn-RS" w:eastAsia="en-GB"/>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0EAB161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47ABDA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p>
        </w:tc>
      </w:tr>
      <w:tr w:rsidR="008F0CED" w:rsidRPr="008F0CED" w14:paraId="01820647"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69B6BD3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6.2.</w:t>
            </w:r>
          </w:p>
        </w:tc>
        <w:tc>
          <w:tcPr>
            <w:tcW w:w="945" w:type="pct"/>
            <w:tcBorders>
              <w:top w:val="single" w:sz="4" w:space="0" w:color="auto"/>
              <w:left w:val="single" w:sz="4" w:space="0" w:color="auto"/>
              <w:bottom w:val="single" w:sz="4" w:space="0" w:color="auto"/>
              <w:right w:val="single" w:sz="4" w:space="0" w:color="auto"/>
            </w:tcBorders>
          </w:tcPr>
          <w:p w14:paraId="2287023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2.By way of exception, paragraph 1 shall not apply to the following:</w:t>
            </w:r>
          </w:p>
          <w:p w14:paraId="306BBF49"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(a) public sector bodies that are required to generate revenue to cover a substantial part of their costs relating to the performance of their public tasks;</w:t>
            </w:r>
          </w:p>
          <w:p w14:paraId="309610D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(b) libraries, including university libraries, museums and archives; (c) public undertakings.</w:t>
            </w:r>
          </w:p>
        </w:tc>
        <w:tc>
          <w:tcPr>
            <w:tcW w:w="324" w:type="pct"/>
            <w:tcBorders>
              <w:top w:val="single" w:sz="4" w:space="0" w:color="auto"/>
              <w:left w:val="single" w:sz="4" w:space="0" w:color="auto"/>
              <w:bottom w:val="single" w:sz="4" w:space="0" w:color="auto"/>
              <w:right w:val="single" w:sz="4" w:space="0" w:color="auto"/>
            </w:tcBorders>
          </w:tcPr>
          <w:p w14:paraId="080FC55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26а</w:t>
            </w:r>
            <w:r w:rsidRPr="008F0CED">
              <w:rPr>
                <w:rFonts w:ascii="Times New Roman" w:hAnsi="Times New Roman" w:cs="Times New Roman"/>
                <w:sz w:val="20"/>
                <w:szCs w:val="20"/>
                <w:lang w:val="sr-Cyrl-RS" w:eastAsia="en-GB"/>
              </w:rPr>
              <w:t>.</w:t>
            </w:r>
            <w:r w:rsidRPr="008F0CED">
              <w:rPr>
                <w:rFonts w:ascii="Times New Roman" w:hAnsi="Times New Roman" w:cs="Times New Roman"/>
                <w:sz w:val="20"/>
                <w:szCs w:val="20"/>
                <w:lang w:val="en-GB" w:eastAsia="en-GB"/>
              </w:rPr>
              <w:t xml:space="preserve"> </w:t>
            </w:r>
            <w:r w:rsidRPr="008F0CED">
              <w:rPr>
                <w:rFonts w:ascii="Times New Roman" w:hAnsi="Times New Roman" w:cs="Times New Roman"/>
                <w:sz w:val="20"/>
                <w:szCs w:val="20"/>
                <w:lang w:val="sr-Cyrl-RS" w:eastAsia="en-GB"/>
              </w:rPr>
              <w:t>10</w:t>
            </w:r>
            <w:r w:rsidRPr="008F0CED">
              <w:rPr>
                <w:rFonts w:ascii="Times New Roman" w:hAnsi="Times New Roman" w:cs="Times New Roman"/>
                <w:sz w:val="20"/>
                <w:szCs w:val="20"/>
                <w:lang w:val="en-GB" w:eastAsia="en-GB"/>
              </w:rPr>
              <w:t>.</w:t>
            </w:r>
          </w:p>
          <w:p w14:paraId="60137DC4"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26а. 16.</w:t>
            </w:r>
          </w:p>
          <w:p w14:paraId="66CCA12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534ED33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ОРГАН НЕ НАПЛАЋУЈЕ НАКНАДУ ЗА ПОНОВНУ УПОТРЕБУ ПОДАТАКА, ОСИМ АКО ТО ПОСЕБНИМ ЗАКОНОМ НИЈЕ ДРУГАЧИЈЕ УТВРЂЕНО.</w:t>
            </w:r>
          </w:p>
          <w:p w14:paraId="1209EFD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22423B6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ЛИСТУ ОРГАНА КОЈИ У СКЛАДУ СА ПОСЕБНИМ ЗАКОНОМ НАПЛАЋУЈУ ПОНОВНУ УПОТРЕБУ ПОДАТАКА ПРОПИСУЈЕ ВЛАДА</w:t>
            </w:r>
            <w:r w:rsidRPr="008F0CED">
              <w:rPr>
                <w:rFonts w:ascii="Times New Roman" w:hAnsi="Times New Roman" w:cs="Times New Roman"/>
                <w:sz w:val="20"/>
                <w:szCs w:val="20"/>
                <w:lang w:val="sr-Cyrl-RS" w:eastAsia="en-GB"/>
              </w:rPr>
              <w:t>.</w:t>
            </w:r>
          </w:p>
          <w:p w14:paraId="61ECEE40"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p>
        </w:tc>
        <w:tc>
          <w:tcPr>
            <w:tcW w:w="442" w:type="pct"/>
            <w:tcBorders>
              <w:top w:val="single" w:sz="4" w:space="0" w:color="auto"/>
              <w:left w:val="single" w:sz="4" w:space="0" w:color="auto"/>
              <w:bottom w:val="single" w:sz="4" w:space="0" w:color="auto"/>
              <w:right w:val="single" w:sz="4" w:space="0" w:color="auto"/>
            </w:tcBorders>
          </w:tcPr>
          <w:p w14:paraId="597CEA4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2835C978"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Изузеци од одредбе се могу посебним законом прописати тако да буде одређено  да органи који се претежно финансирају</w:t>
            </w:r>
            <w:r w:rsidRPr="008F0CED">
              <w:rPr>
                <w:rFonts w:ascii="Times New Roman" w:hAnsi="Times New Roman" w:cs="Times New Roman"/>
                <w:sz w:val="20"/>
                <w:szCs w:val="20"/>
                <w:lang w:val="sr-Latn-RS" w:eastAsia="en-GB"/>
              </w:rPr>
              <w:t xml:space="preserve"> </w:t>
            </w:r>
            <w:r w:rsidRPr="008F0CED">
              <w:rPr>
                <w:rFonts w:ascii="Times New Roman" w:hAnsi="Times New Roman" w:cs="Times New Roman"/>
                <w:sz w:val="20"/>
                <w:szCs w:val="20"/>
                <w:lang w:val="sr-Cyrl-RS" w:eastAsia="en-GB"/>
              </w:rPr>
              <w:t>из сопствених прихода, затим библиотеке, укључујући и уиверзитетске библиотеке, музеји и архиви могу наплатити накнаду за поновну употребу података.</w:t>
            </w:r>
          </w:p>
          <w:p w14:paraId="327EC23B"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Листу органа утврђује Влада подзаконским актом.</w:t>
            </w:r>
          </w:p>
        </w:tc>
        <w:tc>
          <w:tcPr>
            <w:tcW w:w="513" w:type="pct"/>
            <w:tcBorders>
              <w:top w:val="single" w:sz="4" w:space="0" w:color="auto"/>
              <w:left w:val="single" w:sz="4" w:space="0" w:color="auto"/>
              <w:bottom w:val="single" w:sz="4" w:space="0" w:color="auto"/>
              <w:right w:val="single" w:sz="4" w:space="0" w:color="auto"/>
            </w:tcBorders>
          </w:tcPr>
          <w:p w14:paraId="43EE2FC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23AB665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62DF9DA5"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7437902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6.3.</w:t>
            </w:r>
          </w:p>
        </w:tc>
        <w:tc>
          <w:tcPr>
            <w:tcW w:w="945" w:type="pct"/>
            <w:tcBorders>
              <w:top w:val="single" w:sz="4" w:space="0" w:color="auto"/>
              <w:left w:val="single" w:sz="4" w:space="0" w:color="auto"/>
              <w:bottom w:val="single" w:sz="4" w:space="0" w:color="auto"/>
              <w:right w:val="single" w:sz="4" w:space="0" w:color="auto"/>
            </w:tcBorders>
          </w:tcPr>
          <w:p w14:paraId="12A146F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3.Member States shall publish online a list of the public sector bodies referred to in point (a) of paragraph 2.</w:t>
            </w:r>
          </w:p>
        </w:tc>
        <w:tc>
          <w:tcPr>
            <w:tcW w:w="324" w:type="pct"/>
            <w:tcBorders>
              <w:top w:val="single" w:sz="4" w:space="0" w:color="auto"/>
              <w:left w:val="single" w:sz="4" w:space="0" w:color="auto"/>
              <w:bottom w:val="single" w:sz="4" w:space="0" w:color="auto"/>
              <w:right w:val="single" w:sz="4" w:space="0" w:color="auto"/>
            </w:tcBorders>
          </w:tcPr>
          <w:p w14:paraId="502D26C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26а.16.</w:t>
            </w:r>
            <w:r w:rsidRPr="008F0CED">
              <w:rPr>
                <w:rFonts w:ascii="Times New Roman" w:hAnsi="Times New Roman" w:cs="Times New Roman"/>
                <w:sz w:val="20"/>
                <w:szCs w:val="20"/>
                <w:lang w:val="en-GB" w:eastAsia="en-GB"/>
              </w:rPr>
              <w:t>.</w:t>
            </w:r>
          </w:p>
        </w:tc>
        <w:tc>
          <w:tcPr>
            <w:tcW w:w="1231" w:type="pct"/>
            <w:tcBorders>
              <w:top w:val="single" w:sz="4" w:space="0" w:color="auto"/>
              <w:left w:val="single" w:sz="4" w:space="0" w:color="auto"/>
              <w:bottom w:val="single" w:sz="4" w:space="0" w:color="auto"/>
              <w:right w:val="single" w:sz="4" w:space="0" w:color="auto"/>
            </w:tcBorders>
          </w:tcPr>
          <w:p w14:paraId="6F36B74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ЛИСТУ ОРГАНА КОЈИ У СКЛАДУ СА ПОСЕБНИМ ЗАКОНОМ НАПЛАЋУЈУ ПОНОВНУ УПОТРЕБУ ПОДАТАКА ПРОПИСУЈЕ ВЛАДА</w:t>
            </w:r>
          </w:p>
        </w:tc>
        <w:tc>
          <w:tcPr>
            <w:tcW w:w="442" w:type="pct"/>
            <w:tcBorders>
              <w:top w:val="single" w:sz="4" w:space="0" w:color="auto"/>
              <w:left w:val="single" w:sz="4" w:space="0" w:color="auto"/>
              <w:bottom w:val="single" w:sz="4" w:space="0" w:color="auto"/>
              <w:right w:val="single" w:sz="4" w:space="0" w:color="auto"/>
            </w:tcBorders>
          </w:tcPr>
          <w:p w14:paraId="2122F89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55A776D2"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Листу органа утврђује Влада подзаконским актом и објављује се на Порталу отворених података.</w:t>
            </w:r>
          </w:p>
        </w:tc>
        <w:tc>
          <w:tcPr>
            <w:tcW w:w="513" w:type="pct"/>
            <w:tcBorders>
              <w:top w:val="single" w:sz="4" w:space="0" w:color="auto"/>
              <w:left w:val="single" w:sz="4" w:space="0" w:color="auto"/>
              <w:bottom w:val="single" w:sz="4" w:space="0" w:color="auto"/>
              <w:right w:val="single" w:sz="4" w:space="0" w:color="auto"/>
            </w:tcBorders>
          </w:tcPr>
          <w:p w14:paraId="1486387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7C30454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6DCD9A23"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37AFBAC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6.4.</w:t>
            </w:r>
          </w:p>
        </w:tc>
        <w:tc>
          <w:tcPr>
            <w:tcW w:w="945" w:type="pct"/>
            <w:tcBorders>
              <w:top w:val="single" w:sz="4" w:space="0" w:color="auto"/>
              <w:left w:val="single" w:sz="4" w:space="0" w:color="auto"/>
              <w:bottom w:val="single" w:sz="4" w:space="0" w:color="auto"/>
              <w:right w:val="single" w:sz="4" w:space="0" w:color="auto"/>
            </w:tcBorders>
          </w:tcPr>
          <w:p w14:paraId="6B9C429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4.In the cases referred to in points (a) and (c) of paragraph 2, the total charges shall be calculated in accordance with objective, transparent and verifiable criteria. Such criteria shall be laid down by Member States.</w:t>
            </w:r>
          </w:p>
          <w:p w14:paraId="64B3C22B"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The total income from supplying and allowing the re-use of documents over the appropriate accounting period shall not exceed the cost of their collection, production, reproduction, dissemination and data storage, together with a the amount of the fee may not exceed the total amount of costs of collection, production, reproduction and provision of data., and — where applicable — the anonymisation of personal data and measures taken to protect commercially confidential information.</w:t>
            </w:r>
          </w:p>
          <w:p w14:paraId="5F2CDCB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Charges shall be calculated in accordance with the applicable accounting principles.</w:t>
            </w:r>
          </w:p>
        </w:tc>
        <w:tc>
          <w:tcPr>
            <w:tcW w:w="324" w:type="pct"/>
            <w:tcBorders>
              <w:top w:val="single" w:sz="4" w:space="0" w:color="auto"/>
              <w:left w:val="single" w:sz="4" w:space="0" w:color="auto"/>
              <w:bottom w:val="single" w:sz="4" w:space="0" w:color="auto"/>
              <w:right w:val="single" w:sz="4" w:space="0" w:color="auto"/>
            </w:tcBorders>
          </w:tcPr>
          <w:p w14:paraId="571B297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26</w:t>
            </w:r>
            <w:r w:rsidRPr="008F0CED">
              <w:rPr>
                <w:rFonts w:ascii="Times New Roman" w:hAnsi="Times New Roman" w:cs="Times New Roman"/>
                <w:sz w:val="20"/>
                <w:szCs w:val="20"/>
                <w:lang w:val="sr-Cyrl-RS" w:eastAsia="en-GB"/>
              </w:rPr>
              <w:t>а</w:t>
            </w:r>
            <w:r w:rsidRPr="008F0CED">
              <w:rPr>
                <w:rFonts w:ascii="Times New Roman" w:hAnsi="Times New Roman" w:cs="Times New Roman"/>
                <w:sz w:val="20"/>
                <w:szCs w:val="20"/>
                <w:lang w:val="en-GB" w:eastAsia="en-GB"/>
              </w:rPr>
              <w:t>.1</w:t>
            </w:r>
            <w:r w:rsidRPr="008F0CED">
              <w:rPr>
                <w:rFonts w:ascii="Times New Roman" w:hAnsi="Times New Roman" w:cs="Times New Roman"/>
                <w:sz w:val="20"/>
                <w:szCs w:val="20"/>
                <w:lang w:val="sr-Cyrl-RS" w:eastAsia="en-GB"/>
              </w:rPr>
              <w:t>4</w:t>
            </w:r>
            <w:r w:rsidRPr="008F0CED">
              <w:rPr>
                <w:rFonts w:ascii="Times New Roman" w:hAnsi="Times New Roman" w:cs="Times New Roman"/>
                <w:sz w:val="20"/>
                <w:szCs w:val="20"/>
                <w:lang w:val="en-GB" w:eastAsia="en-GB"/>
              </w:rPr>
              <w:t>.</w:t>
            </w:r>
          </w:p>
        </w:tc>
        <w:tc>
          <w:tcPr>
            <w:tcW w:w="1231" w:type="pct"/>
            <w:tcBorders>
              <w:top w:val="single" w:sz="4" w:space="0" w:color="auto"/>
              <w:left w:val="single" w:sz="4" w:space="0" w:color="auto"/>
              <w:bottom w:val="single" w:sz="4" w:space="0" w:color="auto"/>
              <w:right w:val="single" w:sz="4" w:space="0" w:color="auto"/>
            </w:tcBorders>
          </w:tcPr>
          <w:p w14:paraId="4811EEA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ОРГАН ЈЕ ДУЖАН ДА НА </w:t>
            </w:r>
            <w:proofErr w:type="gramStart"/>
            <w:r w:rsidRPr="008F0CED">
              <w:rPr>
                <w:rFonts w:ascii="Times New Roman" w:hAnsi="Times New Roman" w:cs="Times New Roman"/>
                <w:sz w:val="20"/>
                <w:szCs w:val="20"/>
                <w:lang w:val="en-GB" w:eastAsia="en-GB"/>
              </w:rPr>
              <w:t>СВОЈОЈ  ВЕБ</w:t>
            </w:r>
            <w:proofErr w:type="gramEnd"/>
            <w:r w:rsidRPr="008F0CED">
              <w:rPr>
                <w:rFonts w:ascii="Times New Roman" w:hAnsi="Times New Roman" w:cs="Times New Roman"/>
                <w:sz w:val="20"/>
                <w:szCs w:val="20"/>
                <w:lang w:val="en-GB" w:eastAsia="en-GB"/>
              </w:rPr>
              <w:t xml:space="preserve"> ПРЕЗЕНТАЦИЈИ ОБЈАВИ ИЗНОСЕ НАКНАДА ЗА ПОНОВНУ УПОТРЕБУ КАО И КРИТЕРИЈУМЕ КОЈИ СЕ КОРИСТЕ ЗА ИЗРАЧУНАВАЊЕ НАКНАДЕ.</w:t>
            </w:r>
          </w:p>
        </w:tc>
        <w:tc>
          <w:tcPr>
            <w:tcW w:w="442" w:type="pct"/>
            <w:tcBorders>
              <w:top w:val="single" w:sz="4" w:space="0" w:color="auto"/>
              <w:left w:val="single" w:sz="4" w:space="0" w:color="auto"/>
              <w:bottom w:val="single" w:sz="4" w:space="0" w:color="auto"/>
              <w:right w:val="single" w:sz="4" w:space="0" w:color="auto"/>
            </w:tcBorders>
          </w:tcPr>
          <w:p w14:paraId="72FC65C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57D8CA6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32DA705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0113C08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04893692"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039F192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6.5.</w:t>
            </w:r>
          </w:p>
        </w:tc>
        <w:tc>
          <w:tcPr>
            <w:tcW w:w="945" w:type="pct"/>
            <w:tcBorders>
              <w:top w:val="single" w:sz="4" w:space="0" w:color="auto"/>
              <w:left w:val="single" w:sz="4" w:space="0" w:color="auto"/>
              <w:bottom w:val="single" w:sz="4" w:space="0" w:color="auto"/>
              <w:right w:val="single" w:sz="4" w:space="0" w:color="auto"/>
            </w:tcBorders>
          </w:tcPr>
          <w:p w14:paraId="09954D95"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6.The re-use of the following shall be free of charge for the user:</w:t>
            </w:r>
          </w:p>
          <w:p w14:paraId="3FCE012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(a) subject to Article 14(3), (4) and (5), the high-value datasets, as listed in accordance with paragraph 1 of that Article;</w:t>
            </w:r>
          </w:p>
          <w:p w14:paraId="5D0E2B1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(b) research data referred to in point (c) of Article 1(1).</w:t>
            </w:r>
          </w:p>
        </w:tc>
        <w:tc>
          <w:tcPr>
            <w:tcW w:w="324" w:type="pct"/>
            <w:tcBorders>
              <w:top w:val="single" w:sz="4" w:space="0" w:color="auto"/>
              <w:left w:val="single" w:sz="4" w:space="0" w:color="auto"/>
              <w:bottom w:val="single" w:sz="4" w:space="0" w:color="auto"/>
              <w:right w:val="single" w:sz="4" w:space="0" w:color="auto"/>
            </w:tcBorders>
          </w:tcPr>
          <w:p w14:paraId="03975AD0"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26А.12.</w:t>
            </w:r>
          </w:p>
        </w:tc>
        <w:tc>
          <w:tcPr>
            <w:tcW w:w="1231" w:type="pct"/>
            <w:tcBorders>
              <w:top w:val="single" w:sz="4" w:space="0" w:color="auto"/>
              <w:left w:val="single" w:sz="4" w:space="0" w:color="auto"/>
              <w:bottom w:val="single" w:sz="4" w:space="0" w:color="auto"/>
              <w:right w:val="single" w:sz="4" w:space="0" w:color="auto"/>
            </w:tcBorders>
          </w:tcPr>
          <w:p w14:paraId="6083880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ОРГАН НЕ НАПЛАЋУЈЕ НАКНАДУ ЗА ПОНОВНУ УПОТРЕБУ СКУПОВА ПОДАТАКА ОД </w:t>
            </w:r>
            <w:r w:rsidRPr="008F0CED">
              <w:rPr>
                <w:rFonts w:ascii="Times New Roman" w:hAnsi="Times New Roman" w:cs="Times New Roman"/>
                <w:sz w:val="20"/>
                <w:szCs w:val="20"/>
                <w:lang w:val="sr-Cyrl-RS" w:eastAsia="en-GB"/>
              </w:rPr>
              <w:t xml:space="preserve">ПОСЕБНОГ </w:t>
            </w:r>
            <w:r w:rsidRPr="008F0CED">
              <w:rPr>
                <w:rFonts w:ascii="Times New Roman" w:hAnsi="Times New Roman" w:cs="Times New Roman"/>
                <w:sz w:val="20"/>
                <w:szCs w:val="20"/>
                <w:lang w:val="en-GB" w:eastAsia="en-GB"/>
              </w:rPr>
              <w:t xml:space="preserve">ЗНАЧАЈА ЗА </w:t>
            </w:r>
            <w:r w:rsidRPr="008F0CED">
              <w:rPr>
                <w:rFonts w:ascii="Times New Roman" w:hAnsi="Times New Roman" w:cs="Times New Roman"/>
                <w:sz w:val="20"/>
                <w:szCs w:val="20"/>
                <w:lang w:val="sr-Cyrl-RS" w:eastAsia="en-GB"/>
              </w:rPr>
              <w:t xml:space="preserve">ПОНОВНУ УПОТРЕБУ </w:t>
            </w:r>
            <w:r w:rsidRPr="008F0CED">
              <w:rPr>
                <w:rFonts w:ascii="Times New Roman" w:hAnsi="Times New Roman" w:cs="Times New Roman"/>
                <w:sz w:val="20"/>
                <w:szCs w:val="20"/>
                <w:lang w:val="en-GB" w:eastAsia="en-GB"/>
              </w:rPr>
              <w:t>И ИСТРАЖИВАЧКИХ ПОДАТАКА.</w:t>
            </w:r>
          </w:p>
        </w:tc>
        <w:tc>
          <w:tcPr>
            <w:tcW w:w="442" w:type="pct"/>
            <w:tcBorders>
              <w:top w:val="single" w:sz="4" w:space="0" w:color="auto"/>
              <w:left w:val="single" w:sz="4" w:space="0" w:color="auto"/>
              <w:bottom w:val="single" w:sz="4" w:space="0" w:color="auto"/>
              <w:right w:val="single" w:sz="4" w:space="0" w:color="auto"/>
            </w:tcBorders>
          </w:tcPr>
          <w:p w14:paraId="31070DD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76AA2CD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7987487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55F3C99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38F59ACE"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EFF1F8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7.1.</w:t>
            </w:r>
          </w:p>
        </w:tc>
        <w:tc>
          <w:tcPr>
            <w:tcW w:w="945" w:type="pct"/>
            <w:tcBorders>
              <w:top w:val="single" w:sz="4" w:space="0" w:color="auto"/>
              <w:left w:val="single" w:sz="4" w:space="0" w:color="auto"/>
              <w:bottom w:val="single" w:sz="4" w:space="0" w:color="auto"/>
              <w:right w:val="single" w:sz="4" w:space="0" w:color="auto"/>
            </w:tcBorders>
          </w:tcPr>
          <w:p w14:paraId="3C6A845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1.In the case of standard charges for the re-use of documents, any applicable conditions and the actual amount of those charges, including the calculation basis for such charges, shall be pre-established and published, through electronic means where possible and appropriate.</w:t>
            </w:r>
          </w:p>
        </w:tc>
        <w:tc>
          <w:tcPr>
            <w:tcW w:w="324" w:type="pct"/>
            <w:tcBorders>
              <w:top w:val="single" w:sz="4" w:space="0" w:color="auto"/>
              <w:left w:val="single" w:sz="4" w:space="0" w:color="auto"/>
              <w:bottom w:val="single" w:sz="4" w:space="0" w:color="auto"/>
              <w:right w:val="single" w:sz="4" w:space="0" w:color="auto"/>
            </w:tcBorders>
          </w:tcPr>
          <w:p w14:paraId="5D64042D"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en-GB" w:eastAsia="en-GB"/>
              </w:rPr>
              <w:t>26</w:t>
            </w:r>
            <w:r w:rsidRPr="008F0CED">
              <w:rPr>
                <w:rFonts w:ascii="Times New Roman" w:hAnsi="Times New Roman" w:cs="Times New Roman"/>
                <w:sz w:val="20"/>
                <w:szCs w:val="20"/>
                <w:lang w:val="sr-Cyrl-RS" w:eastAsia="en-GB"/>
              </w:rPr>
              <w:t>а</w:t>
            </w:r>
            <w:r w:rsidRPr="008F0CED">
              <w:rPr>
                <w:rFonts w:ascii="Times New Roman" w:hAnsi="Times New Roman" w:cs="Times New Roman"/>
                <w:sz w:val="20"/>
                <w:szCs w:val="20"/>
                <w:lang w:val="en-GB" w:eastAsia="en-GB"/>
              </w:rPr>
              <w:t>.1</w:t>
            </w:r>
            <w:r w:rsidRPr="008F0CED">
              <w:rPr>
                <w:rFonts w:ascii="Times New Roman" w:hAnsi="Times New Roman" w:cs="Times New Roman"/>
                <w:sz w:val="20"/>
                <w:szCs w:val="20"/>
                <w:lang w:val="sr-Cyrl-RS" w:eastAsia="en-GB"/>
              </w:rPr>
              <w:t>4</w:t>
            </w:r>
            <w:r w:rsidRPr="008F0CED">
              <w:rPr>
                <w:rFonts w:ascii="Times New Roman" w:hAnsi="Times New Roman" w:cs="Times New Roman"/>
                <w:sz w:val="20"/>
                <w:szCs w:val="20"/>
                <w:lang w:val="en-GB" w:eastAsia="en-GB"/>
              </w:rPr>
              <w:t>.</w:t>
            </w:r>
          </w:p>
        </w:tc>
        <w:tc>
          <w:tcPr>
            <w:tcW w:w="1231" w:type="pct"/>
            <w:tcBorders>
              <w:top w:val="single" w:sz="4" w:space="0" w:color="auto"/>
              <w:left w:val="single" w:sz="4" w:space="0" w:color="auto"/>
              <w:bottom w:val="single" w:sz="4" w:space="0" w:color="auto"/>
              <w:right w:val="single" w:sz="4" w:space="0" w:color="auto"/>
            </w:tcBorders>
          </w:tcPr>
          <w:p w14:paraId="610114E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ОРГАН ЈЕ ДУЖАН ДА НА </w:t>
            </w:r>
            <w:proofErr w:type="gramStart"/>
            <w:r w:rsidRPr="008F0CED">
              <w:rPr>
                <w:rFonts w:ascii="Times New Roman" w:hAnsi="Times New Roman" w:cs="Times New Roman"/>
                <w:sz w:val="20"/>
                <w:szCs w:val="20"/>
                <w:lang w:val="en-GB" w:eastAsia="en-GB"/>
              </w:rPr>
              <w:t>СВОЈОЈ  ВЕБ</w:t>
            </w:r>
            <w:proofErr w:type="gramEnd"/>
            <w:r w:rsidRPr="008F0CED">
              <w:rPr>
                <w:rFonts w:ascii="Times New Roman" w:hAnsi="Times New Roman" w:cs="Times New Roman"/>
                <w:sz w:val="20"/>
                <w:szCs w:val="20"/>
                <w:lang w:val="en-GB" w:eastAsia="en-GB"/>
              </w:rPr>
              <w:t xml:space="preserve"> ПРЕЗЕНТАЦИЈИ ОБЈАВИ ИЗНОСЕ НАКНАДА ЗА ПОНОВНУ УПОТРЕБУ КАО И КРИТЕРИЈУМЕ КОЈИ СЕ КОРИСТЕ ЗА ИЗРАЧУНАВАЊЕ НАКНАДЕ.</w:t>
            </w:r>
          </w:p>
        </w:tc>
        <w:tc>
          <w:tcPr>
            <w:tcW w:w="442" w:type="pct"/>
            <w:tcBorders>
              <w:top w:val="single" w:sz="4" w:space="0" w:color="auto"/>
              <w:left w:val="single" w:sz="4" w:space="0" w:color="auto"/>
              <w:bottom w:val="single" w:sz="4" w:space="0" w:color="auto"/>
              <w:right w:val="single" w:sz="4" w:space="0" w:color="auto"/>
            </w:tcBorders>
          </w:tcPr>
          <w:p w14:paraId="018AD01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455E89E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p>
        </w:tc>
        <w:tc>
          <w:tcPr>
            <w:tcW w:w="513" w:type="pct"/>
            <w:tcBorders>
              <w:top w:val="single" w:sz="4" w:space="0" w:color="auto"/>
              <w:left w:val="single" w:sz="4" w:space="0" w:color="auto"/>
              <w:bottom w:val="single" w:sz="4" w:space="0" w:color="auto"/>
              <w:right w:val="single" w:sz="4" w:space="0" w:color="auto"/>
            </w:tcBorders>
          </w:tcPr>
          <w:p w14:paraId="56DC500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5CF8342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2BA2E215"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4140941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7.2.</w:t>
            </w:r>
          </w:p>
        </w:tc>
        <w:tc>
          <w:tcPr>
            <w:tcW w:w="945" w:type="pct"/>
            <w:tcBorders>
              <w:top w:val="single" w:sz="4" w:space="0" w:color="auto"/>
              <w:left w:val="single" w:sz="4" w:space="0" w:color="auto"/>
              <w:bottom w:val="single" w:sz="4" w:space="0" w:color="auto"/>
              <w:right w:val="single" w:sz="4" w:space="0" w:color="auto"/>
            </w:tcBorders>
          </w:tcPr>
          <w:p w14:paraId="657F477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2.In the case of charges for the re-use other than those referred to in paragraph 1, the factors that are taken into account in the calculation of those charges shall be indicated at the outset. Upon request, the holder of the documents in question shall also indicate the way in which such charges have been calculated in relation to a specific re-use request.</w:t>
            </w:r>
          </w:p>
        </w:tc>
        <w:tc>
          <w:tcPr>
            <w:tcW w:w="324" w:type="pct"/>
            <w:tcBorders>
              <w:top w:val="single" w:sz="4" w:space="0" w:color="auto"/>
              <w:left w:val="single" w:sz="4" w:space="0" w:color="auto"/>
              <w:bottom w:val="single" w:sz="4" w:space="0" w:color="auto"/>
              <w:right w:val="single" w:sz="4" w:space="0" w:color="auto"/>
            </w:tcBorders>
          </w:tcPr>
          <w:p w14:paraId="5EE4C69D"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en-GB" w:eastAsia="en-GB"/>
              </w:rPr>
              <w:t>26</w:t>
            </w:r>
            <w:r w:rsidRPr="008F0CED">
              <w:rPr>
                <w:rFonts w:ascii="Times New Roman" w:hAnsi="Times New Roman" w:cs="Times New Roman"/>
                <w:sz w:val="20"/>
                <w:szCs w:val="20"/>
                <w:lang w:val="sr-Cyrl-RS" w:eastAsia="en-GB"/>
              </w:rPr>
              <w:t>а</w:t>
            </w:r>
            <w:r w:rsidRPr="008F0CED">
              <w:rPr>
                <w:rFonts w:ascii="Times New Roman" w:hAnsi="Times New Roman" w:cs="Times New Roman"/>
                <w:sz w:val="20"/>
                <w:szCs w:val="20"/>
                <w:lang w:val="en-GB" w:eastAsia="en-GB"/>
              </w:rPr>
              <w:t>.1</w:t>
            </w:r>
            <w:r w:rsidRPr="008F0CED">
              <w:rPr>
                <w:rFonts w:ascii="Times New Roman" w:hAnsi="Times New Roman" w:cs="Times New Roman"/>
                <w:sz w:val="20"/>
                <w:szCs w:val="20"/>
                <w:lang w:val="sr-Cyrl-RS" w:eastAsia="en-GB"/>
              </w:rPr>
              <w:t>4</w:t>
            </w:r>
            <w:r w:rsidRPr="008F0CED">
              <w:rPr>
                <w:rFonts w:ascii="Times New Roman" w:hAnsi="Times New Roman" w:cs="Times New Roman"/>
                <w:sz w:val="20"/>
                <w:szCs w:val="20"/>
                <w:lang w:val="en-GB" w:eastAsia="en-GB"/>
              </w:rPr>
              <w:t>.</w:t>
            </w:r>
          </w:p>
        </w:tc>
        <w:tc>
          <w:tcPr>
            <w:tcW w:w="1231" w:type="pct"/>
            <w:tcBorders>
              <w:top w:val="single" w:sz="4" w:space="0" w:color="auto"/>
              <w:left w:val="single" w:sz="4" w:space="0" w:color="auto"/>
              <w:bottom w:val="single" w:sz="4" w:space="0" w:color="auto"/>
              <w:right w:val="single" w:sz="4" w:space="0" w:color="auto"/>
            </w:tcBorders>
          </w:tcPr>
          <w:p w14:paraId="09A46BF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ОРГАН ЈЕ ДУЖАН ДА НА </w:t>
            </w:r>
            <w:proofErr w:type="gramStart"/>
            <w:r w:rsidRPr="008F0CED">
              <w:rPr>
                <w:rFonts w:ascii="Times New Roman" w:hAnsi="Times New Roman" w:cs="Times New Roman"/>
                <w:sz w:val="20"/>
                <w:szCs w:val="20"/>
                <w:lang w:val="en-GB" w:eastAsia="en-GB"/>
              </w:rPr>
              <w:t>СВОЈОЈ  ВЕБ</w:t>
            </w:r>
            <w:proofErr w:type="gramEnd"/>
            <w:r w:rsidRPr="008F0CED">
              <w:rPr>
                <w:rFonts w:ascii="Times New Roman" w:hAnsi="Times New Roman" w:cs="Times New Roman"/>
                <w:sz w:val="20"/>
                <w:szCs w:val="20"/>
                <w:lang w:val="en-GB" w:eastAsia="en-GB"/>
              </w:rPr>
              <w:t xml:space="preserve"> ПРЕЗЕНТАЦИЈИ ОБЈАВИ ИЗНОСЕ НАКНАДА ЗА ПОНОВНУ УПОТРЕБУ КАО И КРИТЕРИЈУМЕ КОЈИ СЕ КОРИСТЕ ЗА ИЗРАЧУНАВАЊЕ НАКНАДЕ.</w:t>
            </w:r>
          </w:p>
        </w:tc>
        <w:tc>
          <w:tcPr>
            <w:tcW w:w="442" w:type="pct"/>
            <w:tcBorders>
              <w:top w:val="single" w:sz="4" w:space="0" w:color="auto"/>
              <w:left w:val="single" w:sz="4" w:space="0" w:color="auto"/>
              <w:bottom w:val="single" w:sz="4" w:space="0" w:color="auto"/>
              <w:right w:val="single" w:sz="4" w:space="0" w:color="auto"/>
            </w:tcBorders>
          </w:tcPr>
          <w:p w14:paraId="03CE06D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11EA585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664B54A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72FB3EB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756423FD"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22C7F83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7.3.</w:t>
            </w:r>
          </w:p>
        </w:tc>
        <w:tc>
          <w:tcPr>
            <w:tcW w:w="945" w:type="pct"/>
            <w:tcBorders>
              <w:top w:val="single" w:sz="4" w:space="0" w:color="auto"/>
              <w:left w:val="single" w:sz="4" w:space="0" w:color="auto"/>
              <w:bottom w:val="single" w:sz="4" w:space="0" w:color="auto"/>
              <w:right w:val="single" w:sz="4" w:space="0" w:color="auto"/>
            </w:tcBorders>
          </w:tcPr>
          <w:p w14:paraId="6C899BA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3.Public sector bodies shall ensure that applicants for re-use of documents are informed of available means of redress relating to decisions or practices affecting them.</w:t>
            </w:r>
          </w:p>
        </w:tc>
        <w:tc>
          <w:tcPr>
            <w:tcW w:w="324" w:type="pct"/>
            <w:tcBorders>
              <w:top w:val="single" w:sz="4" w:space="0" w:color="auto"/>
              <w:left w:val="single" w:sz="4" w:space="0" w:color="auto"/>
              <w:bottom w:val="single" w:sz="4" w:space="0" w:color="auto"/>
              <w:right w:val="single" w:sz="4" w:space="0" w:color="auto"/>
            </w:tcBorders>
          </w:tcPr>
          <w:p w14:paraId="76267CA3"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26а 3.</w:t>
            </w:r>
          </w:p>
        </w:tc>
        <w:tc>
          <w:tcPr>
            <w:tcW w:w="1231" w:type="pct"/>
            <w:tcBorders>
              <w:top w:val="single" w:sz="4" w:space="0" w:color="auto"/>
              <w:left w:val="single" w:sz="4" w:space="0" w:color="auto"/>
              <w:bottom w:val="single" w:sz="4" w:space="0" w:color="auto"/>
              <w:right w:val="single" w:sz="4" w:space="0" w:color="auto"/>
            </w:tcBorders>
          </w:tcPr>
          <w:p w14:paraId="3D8860FE"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ПОДНОСИЛАЦ ЗАХТЕВА</w:t>
            </w:r>
            <w:r w:rsidRPr="008F0CED">
              <w:rPr>
                <w:rFonts w:ascii="Times New Roman" w:hAnsi="Times New Roman" w:cs="Times New Roman"/>
                <w:sz w:val="20"/>
                <w:szCs w:val="20"/>
                <w:lang w:val="en-GB" w:eastAsia="en-GB"/>
              </w:rPr>
              <w:t xml:space="preserve"> ОСТВАР</w:t>
            </w:r>
            <w:r w:rsidRPr="008F0CED">
              <w:rPr>
                <w:rFonts w:ascii="Times New Roman" w:hAnsi="Times New Roman" w:cs="Times New Roman"/>
                <w:sz w:val="20"/>
                <w:szCs w:val="20"/>
                <w:lang w:val="sr-Cyrl-RS" w:eastAsia="en-GB"/>
              </w:rPr>
              <w:t>УЈЕ</w:t>
            </w:r>
            <w:r w:rsidRPr="008F0CED">
              <w:rPr>
                <w:rFonts w:ascii="Times New Roman" w:hAnsi="Times New Roman" w:cs="Times New Roman"/>
                <w:sz w:val="20"/>
                <w:szCs w:val="20"/>
                <w:lang w:val="en-GB" w:eastAsia="en-GB"/>
              </w:rPr>
              <w:t xml:space="preserve"> ПРАВ</w:t>
            </w:r>
            <w:r w:rsidRPr="008F0CED">
              <w:rPr>
                <w:rFonts w:ascii="Times New Roman" w:hAnsi="Times New Roman" w:cs="Times New Roman"/>
                <w:sz w:val="20"/>
                <w:szCs w:val="20"/>
                <w:lang w:val="sr-Cyrl-RS" w:eastAsia="en-GB"/>
              </w:rPr>
              <w:t>О</w:t>
            </w:r>
            <w:r w:rsidRPr="008F0CED">
              <w:rPr>
                <w:rFonts w:ascii="Times New Roman" w:hAnsi="Times New Roman" w:cs="Times New Roman"/>
                <w:sz w:val="20"/>
                <w:szCs w:val="20"/>
                <w:lang w:val="en-GB" w:eastAsia="en-GB"/>
              </w:rPr>
              <w:t xml:space="preserve"> НА ПО</w:t>
            </w:r>
            <w:r w:rsidRPr="008F0CED">
              <w:rPr>
                <w:rFonts w:ascii="Times New Roman" w:hAnsi="Times New Roman" w:cs="Times New Roman"/>
                <w:sz w:val="20"/>
                <w:szCs w:val="20"/>
                <w:lang w:val="sr-Cyrl-RS" w:eastAsia="en-GB"/>
              </w:rPr>
              <w:t>НОВНУ УПОТРЕБУ ПОДАТАКА У СКЛАДУ СА ЗАКОНОМ КОЈИМ СЕ УРЕЂУЈЕ УПРАВНИ ПОСТУПАК.</w:t>
            </w:r>
          </w:p>
          <w:p w14:paraId="33FDB9C7"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27CCE86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7AFC7A7A"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У складу са Законом о општем управном поступку, решење садржи поуку о правном леку и у случају да није дозвољена жалба на решење покреће се управни спор.</w:t>
            </w:r>
          </w:p>
        </w:tc>
        <w:tc>
          <w:tcPr>
            <w:tcW w:w="513" w:type="pct"/>
            <w:tcBorders>
              <w:top w:val="single" w:sz="4" w:space="0" w:color="auto"/>
              <w:left w:val="single" w:sz="4" w:space="0" w:color="auto"/>
              <w:bottom w:val="single" w:sz="4" w:space="0" w:color="auto"/>
              <w:right w:val="single" w:sz="4" w:space="0" w:color="auto"/>
            </w:tcBorders>
          </w:tcPr>
          <w:p w14:paraId="42F389F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1400951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10A6F432"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DC5873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8.1.</w:t>
            </w:r>
          </w:p>
        </w:tc>
        <w:tc>
          <w:tcPr>
            <w:tcW w:w="945" w:type="pct"/>
            <w:tcBorders>
              <w:top w:val="single" w:sz="4" w:space="0" w:color="auto"/>
              <w:left w:val="single" w:sz="4" w:space="0" w:color="auto"/>
              <w:bottom w:val="single" w:sz="4" w:space="0" w:color="auto"/>
              <w:right w:val="single" w:sz="4" w:space="0" w:color="auto"/>
            </w:tcBorders>
          </w:tcPr>
          <w:p w14:paraId="3DE01407"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w:t>
            </w:r>
            <w:bookmarkStart w:id="1" w:name="_Hlk101904500"/>
            <w:r w:rsidRPr="008F0CED">
              <w:rPr>
                <w:rFonts w:ascii="Times New Roman" w:hAnsi="Times New Roman" w:cs="Times New Roman"/>
                <w:sz w:val="20"/>
                <w:szCs w:val="20"/>
                <w:lang w:val="en-GB" w:eastAsia="en-GB"/>
              </w:rPr>
              <w:t>The re-use of documents shall not be subject to conditions, unless such conditions are objective, proportionate, non-discriminatory and justified on grounds of a public interest objective.</w:t>
            </w:r>
          </w:p>
          <w:p w14:paraId="586D375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When re-use is subject to conditions, those conditions shall not unnecessarily restrict possibilities for re-use and shall not be used to restrict competition.</w:t>
            </w:r>
            <w:bookmarkEnd w:id="1"/>
          </w:p>
        </w:tc>
        <w:tc>
          <w:tcPr>
            <w:tcW w:w="324" w:type="pct"/>
            <w:tcBorders>
              <w:top w:val="single" w:sz="4" w:space="0" w:color="auto"/>
              <w:left w:val="single" w:sz="4" w:space="0" w:color="auto"/>
              <w:bottom w:val="single" w:sz="4" w:space="0" w:color="auto"/>
              <w:right w:val="single" w:sz="4" w:space="0" w:color="auto"/>
            </w:tcBorders>
          </w:tcPr>
          <w:p w14:paraId="70F10CE6"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26</w:t>
            </w:r>
            <w:r w:rsidRPr="008F0CED">
              <w:rPr>
                <w:rFonts w:ascii="Times New Roman" w:hAnsi="Times New Roman" w:cs="Times New Roman"/>
                <w:sz w:val="20"/>
                <w:szCs w:val="20"/>
                <w:lang w:val="en-GB" w:eastAsia="en-GB"/>
              </w:rPr>
              <w:t>.1.</w:t>
            </w:r>
          </w:p>
          <w:p w14:paraId="6A88BCE7"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26.2.</w:t>
            </w:r>
          </w:p>
          <w:p w14:paraId="1AC3D2BF"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26.3.</w:t>
            </w:r>
          </w:p>
          <w:p w14:paraId="6578A148"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26.11.</w:t>
            </w:r>
          </w:p>
          <w:p w14:paraId="5FD0345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517446F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roofErr w:type="spellStart"/>
            <w:r w:rsidRPr="008F0CED">
              <w:rPr>
                <w:rFonts w:ascii="Times New Roman" w:hAnsi="Times New Roman" w:cs="Times New Roman"/>
                <w:sz w:val="20"/>
                <w:szCs w:val="20"/>
                <w:lang w:val="en-GB" w:eastAsia="en-GB"/>
              </w:rPr>
              <w:t>Орган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омогућава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поновну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употребу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података</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машински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читљивом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облику</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отвореном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облику</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складу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слободном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лиценцом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осим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ако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посебним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законом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није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другачије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утврђено</w:t>
            </w:r>
            <w:proofErr w:type="spellEnd"/>
            <w:r w:rsidRPr="008F0CED">
              <w:rPr>
                <w:rFonts w:ascii="Times New Roman" w:hAnsi="Times New Roman" w:cs="Times New Roman"/>
                <w:sz w:val="20"/>
                <w:szCs w:val="20"/>
                <w:lang w:val="en-GB" w:eastAsia="en-GB"/>
              </w:rPr>
              <w:t>.</w:t>
            </w:r>
          </w:p>
          <w:p w14:paraId="74D26FE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roofErr w:type="spellStart"/>
            <w:r w:rsidRPr="008F0CED">
              <w:rPr>
                <w:rFonts w:ascii="Times New Roman" w:hAnsi="Times New Roman" w:cs="Times New Roman"/>
                <w:sz w:val="20"/>
                <w:szCs w:val="20"/>
                <w:lang w:val="en-GB" w:eastAsia="en-GB"/>
              </w:rPr>
              <w:t>Слободна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лиценца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омогућава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слободну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поновну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употребу</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комерцијалне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или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некомерцијалне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сврхе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укључују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умножавање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дистрибуцију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стављање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располагање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трећим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лицима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прилагођавање</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повезивање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другим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подацима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интегрисање</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пословне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процесе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производе</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сервисе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измене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као</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друге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поновне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употребе</w:t>
            </w:r>
            <w:proofErr w:type="spellEnd"/>
            <w:r w:rsidRPr="008F0CED">
              <w:rPr>
                <w:rFonts w:ascii="Times New Roman" w:hAnsi="Times New Roman" w:cs="Times New Roman"/>
                <w:sz w:val="20"/>
                <w:szCs w:val="20"/>
                <w:lang w:val="en-GB" w:eastAsia="en-GB"/>
              </w:rPr>
              <w:t>.</w:t>
            </w:r>
          </w:p>
          <w:p w14:paraId="481AECE5"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roofErr w:type="spellStart"/>
            <w:r w:rsidRPr="008F0CED">
              <w:rPr>
                <w:rFonts w:ascii="Times New Roman" w:hAnsi="Times New Roman" w:cs="Times New Roman"/>
                <w:sz w:val="20"/>
                <w:szCs w:val="20"/>
                <w:lang w:val="en-GB" w:eastAsia="en-GB"/>
              </w:rPr>
              <w:t>Слободна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лиценца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обавезује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упућивање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извор</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података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укључујући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назив</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органа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податке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учинио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доступним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за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поновну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употребу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датум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преузимања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адресу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којој</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подаци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могу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преузети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као</w:t>
            </w:r>
            <w:proofErr w:type="spellEnd"/>
            <w:r w:rsidRPr="008F0CED">
              <w:rPr>
                <w:rFonts w:ascii="Times New Roman" w:hAnsi="Times New Roman" w:cs="Times New Roman"/>
                <w:sz w:val="20"/>
                <w:szCs w:val="20"/>
                <w:lang w:val="en-GB" w:eastAsia="en-GB"/>
              </w:rPr>
              <w:t xml:space="preserve"> и </w:t>
            </w:r>
            <w:proofErr w:type="spellStart"/>
            <w:r w:rsidRPr="008F0CED">
              <w:rPr>
                <w:rFonts w:ascii="Times New Roman" w:hAnsi="Times New Roman" w:cs="Times New Roman"/>
                <w:sz w:val="20"/>
                <w:szCs w:val="20"/>
                <w:lang w:val="en-GB" w:eastAsia="en-GB"/>
              </w:rPr>
              <w:t>јасну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ознаку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свих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измена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уређивања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или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новог</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дизајна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преузетих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података</w:t>
            </w:r>
            <w:proofErr w:type="spellEnd"/>
            <w:r w:rsidRPr="008F0CED">
              <w:rPr>
                <w:rFonts w:ascii="Times New Roman" w:hAnsi="Times New Roman" w:cs="Times New Roman"/>
                <w:sz w:val="20"/>
                <w:szCs w:val="20"/>
                <w:lang w:val="en-GB" w:eastAsia="en-GB"/>
              </w:rPr>
              <w:t>.</w:t>
            </w:r>
          </w:p>
          <w:p w14:paraId="4BFEE53B" w14:textId="77777777" w:rsidR="008F0CED" w:rsidRPr="008F0CED" w:rsidRDefault="008F0CED" w:rsidP="008F0CED">
            <w:pPr>
              <w:shd w:val="clear" w:color="auto" w:fill="FFFFFF"/>
              <w:spacing w:after="0" w:line="240" w:lineRule="auto"/>
              <w:jc w:val="both"/>
              <w:rPr>
                <w:rFonts w:ascii="Times New Roman" w:eastAsia="Calibri" w:hAnsi="Times New Roman" w:cs="Times New Roman"/>
                <w:sz w:val="20"/>
                <w:szCs w:val="20"/>
                <w:lang w:val="en-GB"/>
              </w:rPr>
            </w:pPr>
            <w:r w:rsidRPr="008F0CED">
              <w:rPr>
                <w:rFonts w:ascii="Times New Roman" w:eastAsia="Calibri" w:hAnsi="Times New Roman" w:cs="Times New Roman"/>
                <w:sz w:val="20"/>
                <w:szCs w:val="20"/>
                <w:lang w:val="en-GB"/>
              </w:rPr>
              <w:t>КАДА ЈЕ ПОНОВНА УПОТРЕБА ПОДАТАКА УСЛОВЉЕНА, ТИ УСЛОВИ ЋЕ БИТИ ПРОПОРЦИОНАЛНИ, НЕДИСКРИМИНАТОРНИ И ОПРАВДАНИ ЈАВНИМ ИНТЕРЕСОМ И НЕЋЕ НЕОСНОВАНО ОГРАНИЧАВАТИ МОГУЋНОСТ И НАЧИН ЊИХОВЕ ПОНОВНЕ УПОТРЕБЕ, НИТИ ЋЕ ОГРАНИЧАВАТИ КОНКУРЕНЦИЈУ.</w:t>
            </w:r>
          </w:p>
          <w:p w14:paraId="0CACF2A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61E6ECC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731679E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Законом је стандардна лиценца утврђена као слободна лиценца.</w:t>
            </w:r>
          </w:p>
        </w:tc>
        <w:tc>
          <w:tcPr>
            <w:tcW w:w="513" w:type="pct"/>
            <w:tcBorders>
              <w:top w:val="single" w:sz="4" w:space="0" w:color="auto"/>
              <w:left w:val="single" w:sz="4" w:space="0" w:color="auto"/>
              <w:bottom w:val="single" w:sz="4" w:space="0" w:color="auto"/>
              <w:right w:val="single" w:sz="4" w:space="0" w:color="auto"/>
            </w:tcBorders>
          </w:tcPr>
          <w:p w14:paraId="404EF36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2FDB71B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2483E4A0"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6FF2CCC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8.2.</w:t>
            </w:r>
          </w:p>
        </w:tc>
        <w:tc>
          <w:tcPr>
            <w:tcW w:w="945" w:type="pct"/>
            <w:tcBorders>
              <w:top w:val="single" w:sz="4" w:space="0" w:color="auto"/>
              <w:left w:val="single" w:sz="4" w:space="0" w:color="auto"/>
              <w:bottom w:val="single" w:sz="4" w:space="0" w:color="auto"/>
              <w:right w:val="single" w:sz="4" w:space="0" w:color="auto"/>
            </w:tcBorders>
          </w:tcPr>
          <w:p w14:paraId="50A7958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2.In Member States where licences are used, Member States shall ensure that </w:t>
            </w:r>
            <w:bookmarkStart w:id="2" w:name="_Hlk101904616"/>
            <w:r w:rsidRPr="008F0CED">
              <w:rPr>
                <w:rFonts w:ascii="Times New Roman" w:hAnsi="Times New Roman" w:cs="Times New Roman"/>
                <w:sz w:val="20"/>
                <w:szCs w:val="20"/>
                <w:lang w:val="en-GB" w:eastAsia="en-GB"/>
              </w:rPr>
              <w:t>standard licences for the re-use of public sector documents, which can be adapted to meet particular licence applications, are available in digital format and can be processed electronically. Member States shall encourage the use of such standard licences.</w:t>
            </w:r>
            <w:bookmarkEnd w:id="2"/>
          </w:p>
        </w:tc>
        <w:tc>
          <w:tcPr>
            <w:tcW w:w="324" w:type="pct"/>
            <w:tcBorders>
              <w:top w:val="single" w:sz="4" w:space="0" w:color="auto"/>
              <w:left w:val="single" w:sz="4" w:space="0" w:color="auto"/>
              <w:bottom w:val="single" w:sz="4" w:space="0" w:color="auto"/>
              <w:right w:val="single" w:sz="4" w:space="0" w:color="auto"/>
            </w:tcBorders>
          </w:tcPr>
          <w:p w14:paraId="481F8F8B"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26.4.</w:t>
            </w:r>
          </w:p>
        </w:tc>
        <w:tc>
          <w:tcPr>
            <w:tcW w:w="1231" w:type="pct"/>
            <w:tcBorders>
              <w:top w:val="single" w:sz="4" w:space="0" w:color="auto"/>
              <w:left w:val="single" w:sz="4" w:space="0" w:color="auto"/>
              <w:bottom w:val="single" w:sz="4" w:space="0" w:color="auto"/>
              <w:right w:val="single" w:sz="4" w:space="0" w:color="auto"/>
            </w:tcBorders>
          </w:tcPr>
          <w:p w14:paraId="7DD28FE0"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en-GB" w:eastAsia="en-GB"/>
              </w:rPr>
              <w:t>ТЕКСТ СЛОБОДНЕ ЛИЦЕНЦЕ ОБЈАВЉУЈЕ СЕ И НА ПОРТАЛУ ОТВОРЕНИХ ПОДАТАКА</w:t>
            </w:r>
            <w:r w:rsidRPr="008F0CED">
              <w:rPr>
                <w:rFonts w:ascii="Times New Roman" w:hAnsi="Times New Roman" w:cs="Times New Roman"/>
                <w:sz w:val="20"/>
                <w:szCs w:val="20"/>
                <w:lang w:val="sr-Cyrl-RS" w:eastAsia="en-GB"/>
              </w:rPr>
              <w:t xml:space="preserve"> У ЕЛЕКТРОНСКОМ И МАШИНСКИ ЧИТЉИВОМ ОБЛИКУ.</w:t>
            </w:r>
          </w:p>
        </w:tc>
        <w:tc>
          <w:tcPr>
            <w:tcW w:w="442" w:type="pct"/>
            <w:tcBorders>
              <w:top w:val="single" w:sz="4" w:space="0" w:color="auto"/>
              <w:left w:val="single" w:sz="4" w:space="0" w:color="auto"/>
              <w:bottom w:val="single" w:sz="4" w:space="0" w:color="auto"/>
              <w:right w:val="single" w:sz="4" w:space="0" w:color="auto"/>
            </w:tcBorders>
          </w:tcPr>
          <w:p w14:paraId="11E6700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506556F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5AC572E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63D604D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7F9C3A3D"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shd w:val="clear" w:color="auto" w:fill="auto"/>
          </w:tcPr>
          <w:p w14:paraId="72E69D0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9.1.</w:t>
            </w:r>
          </w:p>
        </w:tc>
        <w:tc>
          <w:tcPr>
            <w:tcW w:w="945" w:type="pct"/>
            <w:tcBorders>
              <w:top w:val="single" w:sz="4" w:space="0" w:color="auto"/>
              <w:left w:val="single" w:sz="4" w:space="0" w:color="auto"/>
              <w:bottom w:val="single" w:sz="4" w:space="0" w:color="auto"/>
              <w:right w:val="single" w:sz="4" w:space="0" w:color="auto"/>
            </w:tcBorders>
            <w:shd w:val="clear" w:color="auto" w:fill="auto"/>
          </w:tcPr>
          <w:p w14:paraId="1422D349"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1.Member States shall make practical arrangements facilitating the search for documents available for re-use, such as asset lists of main documents with relevant metadata, accessible where possible and appropriate online and in machine- readable format, and portal sites that are linked to the asset lists. Where possible, Member States shall facilitate the cross-linguistic search for documents, in particular by enabling metadata aggregation at Union level. Member States shall also encourage public sector bodies to make practical arrangements facilitating the preservation of documents available for re-use.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71064C6"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27.1.</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6AF6BDD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roofErr w:type="spellStart"/>
            <w:r w:rsidRPr="008F0CED">
              <w:rPr>
                <w:rFonts w:ascii="Times New Roman" w:hAnsi="Times New Roman" w:cs="Times New Roman"/>
                <w:sz w:val="20"/>
                <w:szCs w:val="20"/>
                <w:lang w:val="en-GB" w:eastAsia="en-GB"/>
              </w:rPr>
              <w:t>Орган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дужан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Порталу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отворених</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података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објављује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отворене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податке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из</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делокруга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своје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надлежности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начин</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који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омогућава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њихово</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лако</w:t>
            </w:r>
            <w:proofErr w:type="spellEnd"/>
            <w:r w:rsidRPr="008F0CED">
              <w:rPr>
                <w:rFonts w:ascii="Times New Roman" w:hAnsi="Times New Roman" w:cs="Times New Roman"/>
                <w:sz w:val="20"/>
                <w:szCs w:val="20"/>
                <w:lang w:val="en-GB" w:eastAsia="en-GB"/>
              </w:rPr>
              <w:t xml:space="preserve"> </w:t>
            </w:r>
            <w:proofErr w:type="spellStart"/>
            <w:proofErr w:type="gramStart"/>
            <w:r w:rsidRPr="008F0CED">
              <w:rPr>
                <w:rFonts w:ascii="Times New Roman" w:hAnsi="Times New Roman" w:cs="Times New Roman"/>
                <w:sz w:val="20"/>
                <w:szCs w:val="20"/>
                <w:lang w:val="en-GB" w:eastAsia="en-GB"/>
              </w:rPr>
              <w:t>претраживање</w:t>
            </w:r>
            <w:proofErr w:type="spellEnd"/>
            <w:r w:rsidRPr="008F0CED">
              <w:rPr>
                <w:rFonts w:ascii="Times New Roman" w:hAnsi="Times New Roman" w:cs="Times New Roman"/>
                <w:sz w:val="20"/>
                <w:szCs w:val="20"/>
                <w:lang w:val="en-GB" w:eastAsia="en-GB"/>
              </w:rPr>
              <w:t xml:space="preserve">  и</w:t>
            </w:r>
            <w:proofErr w:type="gram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поновну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употребу</w:t>
            </w:r>
            <w:proofErr w:type="spellEnd"/>
            <w:r w:rsidRPr="008F0CED">
              <w:rPr>
                <w:rFonts w:ascii="Times New Roman" w:hAnsi="Times New Roman" w:cs="Times New Roman"/>
                <w:sz w:val="20"/>
                <w:szCs w:val="20"/>
                <w:lang w:val="sr-Cyrl-RS" w:eastAsia="en-GB"/>
              </w:rPr>
              <w:t>, У СКЛАДУ СА ОТВОРЕНИМ СТАНДАРДОМ</w:t>
            </w:r>
            <w:r w:rsidRPr="008F0CED">
              <w:rPr>
                <w:rFonts w:ascii="Times New Roman" w:hAnsi="Times New Roman" w:cs="Times New Roman"/>
                <w:sz w:val="20"/>
                <w:szCs w:val="20"/>
                <w:lang w:val="en-GB" w:eastAsia="en-GB"/>
              </w:rPr>
              <w:t>.</w:t>
            </w:r>
          </w:p>
          <w:p w14:paraId="16DCFC7B"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en-GB" w:eastAsia="en-GB"/>
              </w:rPr>
              <w:t>БЛИЖЕ УСЛОВЕ О УСПОСТАВЉАЊУ И НАЧИНУ РАДА ПОРТАЛА ОТВОРЕНИХ ПОДАТАКА, УКЉУЧУЈУЋИ ОРГАНИЗАЦИОНЕ И ТЕХНИЧКЕ СТАНДАРДЕ,</w:t>
            </w:r>
            <w:r w:rsidRPr="008F0CED">
              <w:rPr>
                <w:rFonts w:ascii="Times New Roman" w:hAnsi="Times New Roman" w:cs="Times New Roman"/>
                <w:sz w:val="20"/>
                <w:szCs w:val="20"/>
                <w:lang w:val="sr-Cyrl-RS" w:eastAsia="en-GB"/>
              </w:rPr>
              <w:t xml:space="preserve"> СТАНДАРДЕ ЗА ПОВЕЗИВАЊЕ СА ТИМ ПОРТАЛОМ ПРОПИСУЈЕ ВЛАДА.</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36CEB06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ДУ</w:t>
            </w:r>
          </w:p>
        </w:tc>
        <w:tc>
          <w:tcPr>
            <w:tcW w:w="599" w:type="pct"/>
            <w:gridSpan w:val="2"/>
            <w:tcBorders>
              <w:top w:val="single" w:sz="4" w:space="0" w:color="auto"/>
              <w:left w:val="single" w:sz="4" w:space="0" w:color="auto"/>
              <w:bottom w:val="single" w:sz="4" w:space="0" w:color="auto"/>
              <w:right w:val="single" w:sz="4" w:space="0" w:color="auto"/>
            </w:tcBorders>
            <w:shd w:val="clear" w:color="auto" w:fill="auto"/>
          </w:tcPr>
          <w:p w14:paraId="325268B0"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sr-Latn-RS" w:eastAsia="en-GB"/>
              </w:rPr>
            </w:pPr>
            <w:r w:rsidRPr="008F0CED">
              <w:rPr>
                <w:rFonts w:ascii="Times New Roman" w:hAnsi="Times New Roman" w:cs="Times New Roman"/>
                <w:sz w:val="20"/>
                <w:szCs w:val="20"/>
                <w:lang w:val="sr-Cyrl-RS" w:eastAsia="en-GB"/>
              </w:rPr>
              <w:t xml:space="preserve">Влада у подзаконском акту утврђује начин рада Портала отворених података који испуњава услове из ове тачке, укључујући и размену метаподатака са </w:t>
            </w:r>
            <w:r w:rsidRPr="008F0CED">
              <w:rPr>
                <w:rFonts w:ascii="Times New Roman" w:hAnsi="Times New Roman" w:cs="Times New Roman"/>
                <w:sz w:val="20"/>
                <w:szCs w:val="20"/>
                <w:lang w:val="sr-Latn-RS" w:eastAsia="en-GB"/>
              </w:rPr>
              <w:t>EU Data Portal.</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E86F8C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3B03107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7C854C09"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2773242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9.2.</w:t>
            </w:r>
          </w:p>
        </w:tc>
        <w:tc>
          <w:tcPr>
            <w:tcW w:w="945" w:type="pct"/>
            <w:tcBorders>
              <w:top w:val="single" w:sz="4" w:space="0" w:color="auto"/>
              <w:left w:val="single" w:sz="4" w:space="0" w:color="auto"/>
              <w:bottom w:val="single" w:sz="4" w:space="0" w:color="auto"/>
              <w:right w:val="single" w:sz="4" w:space="0" w:color="auto"/>
            </w:tcBorders>
          </w:tcPr>
          <w:p w14:paraId="073EDEE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2.Member States shall, in cooperation with the Commission, continue efforts to simplify access to datasets, in particular by providing a single point of access and by progressively making available suitable datasets held by public sector bodies with regard to the documents to which this Directive applies, as well as to data held by Union institutions, in formats that are accessible, readily findable and re-usable by electronic means.</w:t>
            </w:r>
          </w:p>
        </w:tc>
        <w:tc>
          <w:tcPr>
            <w:tcW w:w="324" w:type="pct"/>
            <w:tcBorders>
              <w:top w:val="single" w:sz="4" w:space="0" w:color="auto"/>
              <w:left w:val="single" w:sz="4" w:space="0" w:color="auto"/>
              <w:bottom w:val="single" w:sz="4" w:space="0" w:color="auto"/>
              <w:right w:val="single" w:sz="4" w:space="0" w:color="auto"/>
            </w:tcBorders>
          </w:tcPr>
          <w:p w14:paraId="11F96177"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271CD225"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17B6ACF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561612D6"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Посебни прописи о канцеларијском пословању органа државне управе и архивској делатности, као и електронској управи уређују се обавезе органа у вези са чувањем записа укључујући оне за поновну употребу.</w:t>
            </w:r>
          </w:p>
        </w:tc>
        <w:tc>
          <w:tcPr>
            <w:tcW w:w="513" w:type="pct"/>
            <w:tcBorders>
              <w:top w:val="single" w:sz="4" w:space="0" w:color="auto"/>
              <w:left w:val="single" w:sz="4" w:space="0" w:color="auto"/>
              <w:bottom w:val="single" w:sz="4" w:space="0" w:color="auto"/>
              <w:right w:val="single" w:sz="4" w:space="0" w:color="auto"/>
            </w:tcBorders>
          </w:tcPr>
          <w:p w14:paraId="27DD81C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77C931B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3916234E"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20C3009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10.1.</w:t>
            </w:r>
          </w:p>
        </w:tc>
        <w:tc>
          <w:tcPr>
            <w:tcW w:w="945" w:type="pct"/>
            <w:tcBorders>
              <w:top w:val="single" w:sz="4" w:space="0" w:color="auto"/>
              <w:left w:val="single" w:sz="4" w:space="0" w:color="auto"/>
              <w:bottom w:val="single" w:sz="4" w:space="0" w:color="auto"/>
              <w:right w:val="single" w:sz="4" w:space="0" w:color="auto"/>
            </w:tcBorders>
          </w:tcPr>
          <w:p w14:paraId="73F9619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1.Member States shall support the availability of research data by adopting national policies and relevant actions aiming at making publicly funded research data openly available (‘open access policies’), following the principle of ‘open by default’ and compatible with the FAIR principles. In that context, concerns relating to intellectual property rights, personal data protection and confidentiality, security and legitimate commercial interests, shall be taken into account in accordance with the principle of ‘as open as possible, as closed as necessary’. Those open access policies shall be addressed to research performing organisations and research funding organisations.</w:t>
            </w:r>
          </w:p>
        </w:tc>
        <w:tc>
          <w:tcPr>
            <w:tcW w:w="324" w:type="pct"/>
            <w:tcBorders>
              <w:top w:val="single" w:sz="4" w:space="0" w:color="auto"/>
              <w:left w:val="single" w:sz="4" w:space="0" w:color="auto"/>
              <w:bottom w:val="single" w:sz="4" w:space="0" w:color="auto"/>
              <w:right w:val="single" w:sz="4" w:space="0" w:color="auto"/>
            </w:tcBorders>
          </w:tcPr>
          <w:p w14:paraId="4120B59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25.4.</w:t>
            </w:r>
            <w:r w:rsidRPr="008F0CED">
              <w:rPr>
                <w:rFonts w:ascii="Times New Roman" w:hAnsi="Times New Roman" w:cs="Times New Roman"/>
                <w:sz w:val="20"/>
                <w:szCs w:val="20"/>
                <w:lang w:val="sr-Cyrl-RS" w:eastAsia="en-GB"/>
              </w:rPr>
              <w:t>11</w:t>
            </w:r>
            <w:r w:rsidRPr="008F0CED">
              <w:rPr>
                <w:rFonts w:ascii="Times New Roman" w:hAnsi="Times New Roman" w:cs="Times New Roman"/>
                <w:sz w:val="20"/>
                <w:szCs w:val="20"/>
                <w:lang w:val="en-GB" w:eastAsia="en-GB"/>
              </w:rPr>
              <w:t>)</w:t>
            </w:r>
          </w:p>
        </w:tc>
        <w:tc>
          <w:tcPr>
            <w:tcW w:w="1231" w:type="pct"/>
            <w:tcBorders>
              <w:top w:val="single" w:sz="4" w:space="0" w:color="auto"/>
              <w:left w:val="single" w:sz="4" w:space="0" w:color="auto"/>
              <w:bottom w:val="single" w:sz="4" w:space="0" w:color="auto"/>
              <w:right w:val="single" w:sz="4" w:space="0" w:color="auto"/>
            </w:tcBorders>
          </w:tcPr>
          <w:p w14:paraId="1EE2570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ПОНОВНА УПОТРЕБА ПОДАТАКА НЕ ОДНОСИ СЕ НА:</w:t>
            </w:r>
          </w:p>
          <w:p w14:paraId="6C30F809"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2DA86B5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11) ПОДАТКЕ ОБРАЗОВНИХ УСТАНОВА, ОСИМ ИСТРАЖИВАЧКИХ ПОДАТАКА;</w:t>
            </w:r>
          </w:p>
        </w:tc>
        <w:tc>
          <w:tcPr>
            <w:tcW w:w="442" w:type="pct"/>
            <w:tcBorders>
              <w:top w:val="single" w:sz="4" w:space="0" w:color="auto"/>
              <w:left w:val="single" w:sz="4" w:space="0" w:color="auto"/>
              <w:bottom w:val="single" w:sz="4" w:space="0" w:color="auto"/>
              <w:right w:val="single" w:sz="4" w:space="0" w:color="auto"/>
            </w:tcBorders>
          </w:tcPr>
          <w:p w14:paraId="312A4B4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3E97EEB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Закон о науци и истраживањима (2019)</w:t>
            </w:r>
          </w:p>
          <w:p w14:paraId="65ADB43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Документом јавне политике – Стратегија научног и технолошког развоја Републике Србије за период од 2021. до 2025. године „Моћ знања“ (…) са Акционом планом</w:t>
            </w:r>
          </w:p>
        </w:tc>
        <w:tc>
          <w:tcPr>
            <w:tcW w:w="513" w:type="pct"/>
            <w:tcBorders>
              <w:top w:val="single" w:sz="4" w:space="0" w:color="auto"/>
              <w:left w:val="single" w:sz="4" w:space="0" w:color="auto"/>
              <w:bottom w:val="single" w:sz="4" w:space="0" w:color="auto"/>
              <w:right w:val="single" w:sz="4" w:space="0" w:color="auto"/>
            </w:tcBorders>
          </w:tcPr>
          <w:p w14:paraId="53E7F56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04BF471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5E6D8892"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21552FC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10.2.</w:t>
            </w:r>
          </w:p>
        </w:tc>
        <w:tc>
          <w:tcPr>
            <w:tcW w:w="945" w:type="pct"/>
            <w:tcBorders>
              <w:top w:val="single" w:sz="4" w:space="0" w:color="auto"/>
              <w:left w:val="single" w:sz="4" w:space="0" w:color="auto"/>
              <w:bottom w:val="single" w:sz="4" w:space="0" w:color="auto"/>
              <w:right w:val="single" w:sz="4" w:space="0" w:color="auto"/>
            </w:tcBorders>
          </w:tcPr>
          <w:p w14:paraId="5C174B06"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2.Without prejudice to point (c) of Article 1(2), research data shall be re-usable for commercial or non-commercial purposes in accordance with Chapters III and IV, insofar as they are publicly funded and researchers, research performing organisations or research funding organisations have already made them publicly available through an institutional or subject-based repository. In that context, legitimate commercial interests, knowledge transfer activities and pre-existing intellectual property rights shall be taken into account.</w:t>
            </w:r>
          </w:p>
        </w:tc>
        <w:tc>
          <w:tcPr>
            <w:tcW w:w="324" w:type="pct"/>
            <w:tcBorders>
              <w:top w:val="single" w:sz="4" w:space="0" w:color="auto"/>
              <w:left w:val="single" w:sz="4" w:space="0" w:color="auto"/>
              <w:bottom w:val="single" w:sz="4" w:space="0" w:color="auto"/>
              <w:right w:val="single" w:sz="4" w:space="0" w:color="auto"/>
            </w:tcBorders>
          </w:tcPr>
          <w:p w14:paraId="04A5FB93"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4.16)</w:t>
            </w:r>
          </w:p>
        </w:tc>
        <w:tc>
          <w:tcPr>
            <w:tcW w:w="1231" w:type="pct"/>
            <w:tcBorders>
              <w:top w:val="single" w:sz="4" w:space="0" w:color="auto"/>
              <w:left w:val="single" w:sz="4" w:space="0" w:color="auto"/>
              <w:bottom w:val="single" w:sz="4" w:space="0" w:color="auto"/>
              <w:right w:val="single" w:sz="4" w:space="0" w:color="auto"/>
            </w:tcBorders>
          </w:tcPr>
          <w:p w14:paraId="6EB0FA6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ИСТРАЖИВАЧКИ ПОДАЦИ СУ </w:t>
            </w:r>
            <w:r w:rsidRPr="008F0CED">
              <w:rPr>
                <w:rFonts w:ascii="Times New Roman" w:hAnsi="Times New Roman" w:cs="Times New Roman"/>
                <w:sz w:val="20"/>
                <w:szCs w:val="20"/>
                <w:lang w:val="sr-Cyrl-RS" w:eastAsia="en-GB"/>
              </w:rPr>
              <w:t xml:space="preserve">ПОДАЦИ КОЈИ СУ ПРИКУПЉЕНИ ИЛИ </w:t>
            </w:r>
            <w:r w:rsidRPr="008F0CED">
              <w:rPr>
                <w:rFonts w:ascii="Times New Roman" w:hAnsi="Times New Roman" w:cs="Times New Roman"/>
                <w:sz w:val="20"/>
                <w:szCs w:val="20"/>
                <w:lang w:val="en-GB" w:eastAsia="en-GB"/>
              </w:rPr>
              <w:t xml:space="preserve">НАСТАЛИ У </w:t>
            </w:r>
            <w:r w:rsidRPr="008F0CED">
              <w:rPr>
                <w:rFonts w:ascii="Times New Roman" w:hAnsi="Times New Roman" w:cs="Times New Roman"/>
                <w:sz w:val="20"/>
                <w:szCs w:val="20"/>
                <w:lang w:val="sr-Cyrl-RS" w:eastAsia="en-GB"/>
              </w:rPr>
              <w:t>НАУЧНО-</w:t>
            </w:r>
            <w:r w:rsidRPr="008F0CED">
              <w:rPr>
                <w:rFonts w:ascii="Times New Roman" w:hAnsi="Times New Roman" w:cs="Times New Roman"/>
                <w:sz w:val="20"/>
                <w:szCs w:val="20"/>
                <w:lang w:val="en-GB" w:eastAsia="en-GB"/>
              </w:rPr>
              <w:t>ИСТРАЖИВА</w:t>
            </w:r>
            <w:r w:rsidRPr="008F0CED">
              <w:rPr>
                <w:rFonts w:ascii="Times New Roman" w:hAnsi="Times New Roman" w:cs="Times New Roman"/>
                <w:sz w:val="20"/>
                <w:szCs w:val="20"/>
                <w:lang w:val="sr-Cyrl-RS" w:eastAsia="en-GB"/>
              </w:rPr>
              <w:t>ЧКОМ РАДУ И КОЈИ СЕ УПОТРЕБЊАВАЈУ КАО ДОКАЗИ У ИСТРАЖИВАЧКОМ ПРОЦЕСУ, ИЛИ ИХ ИСТАЖИВАЧКА ЗАЈЕДНИЦА КОРИСТИ ЗА ПРОВЕРУ ИСТРАЖИВАЧКИХ НАЛАЗА И РЕЗУЛТАТА.</w:t>
            </w:r>
          </w:p>
        </w:tc>
        <w:tc>
          <w:tcPr>
            <w:tcW w:w="442" w:type="pct"/>
            <w:tcBorders>
              <w:top w:val="single" w:sz="4" w:space="0" w:color="auto"/>
              <w:left w:val="single" w:sz="4" w:space="0" w:color="auto"/>
              <w:bottom w:val="single" w:sz="4" w:space="0" w:color="auto"/>
              <w:right w:val="single" w:sz="4" w:space="0" w:color="auto"/>
            </w:tcBorders>
          </w:tcPr>
          <w:p w14:paraId="168471D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720FB57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5FB0B1A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189D1CF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19613987"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2B1D3C8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11.1.</w:t>
            </w:r>
          </w:p>
        </w:tc>
        <w:tc>
          <w:tcPr>
            <w:tcW w:w="945" w:type="pct"/>
            <w:tcBorders>
              <w:top w:val="single" w:sz="4" w:space="0" w:color="auto"/>
              <w:left w:val="single" w:sz="4" w:space="0" w:color="auto"/>
              <w:bottom w:val="single" w:sz="4" w:space="0" w:color="auto"/>
              <w:right w:val="single" w:sz="4" w:space="0" w:color="auto"/>
            </w:tcBorders>
          </w:tcPr>
          <w:p w14:paraId="1BA6F72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1.Any applicable conditions for the re-use of documents shall be non-discriminatory for comparable categories of re-use, including for cross-border re-use.</w:t>
            </w:r>
          </w:p>
        </w:tc>
        <w:tc>
          <w:tcPr>
            <w:tcW w:w="324" w:type="pct"/>
            <w:tcBorders>
              <w:top w:val="single" w:sz="4" w:space="0" w:color="auto"/>
              <w:left w:val="single" w:sz="4" w:space="0" w:color="auto"/>
              <w:bottom w:val="single" w:sz="4" w:space="0" w:color="auto"/>
              <w:right w:val="single" w:sz="4" w:space="0" w:color="auto"/>
            </w:tcBorders>
          </w:tcPr>
          <w:p w14:paraId="6F65832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25.2.</w:t>
            </w:r>
          </w:p>
        </w:tc>
        <w:tc>
          <w:tcPr>
            <w:tcW w:w="1231" w:type="pct"/>
            <w:tcBorders>
              <w:top w:val="single" w:sz="4" w:space="0" w:color="auto"/>
              <w:left w:val="single" w:sz="4" w:space="0" w:color="auto"/>
              <w:bottom w:val="single" w:sz="4" w:space="0" w:color="auto"/>
              <w:right w:val="single" w:sz="4" w:space="0" w:color="auto"/>
            </w:tcBorders>
          </w:tcPr>
          <w:p w14:paraId="2464D758"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Latn-RS" w:eastAsia="en-GB"/>
              </w:rPr>
            </w:pPr>
            <w:r w:rsidRPr="008F0CED">
              <w:rPr>
                <w:rFonts w:ascii="Times New Roman" w:hAnsi="Times New Roman" w:cs="Times New Roman"/>
                <w:sz w:val="20"/>
                <w:szCs w:val="20"/>
                <w:lang w:val="en-GB" w:eastAsia="en-GB"/>
              </w:rPr>
              <w:t>ПОНОВНА УПОТРЕБА ПОДАТАКА ДОПУШТЕНА ЈЕ И ДОСТУПНА СВИМА И ПОД ИСТИМ УСЛОВИМА.</w:t>
            </w:r>
          </w:p>
        </w:tc>
        <w:tc>
          <w:tcPr>
            <w:tcW w:w="442" w:type="pct"/>
            <w:tcBorders>
              <w:top w:val="single" w:sz="4" w:space="0" w:color="auto"/>
              <w:left w:val="single" w:sz="4" w:space="0" w:color="auto"/>
              <w:bottom w:val="single" w:sz="4" w:space="0" w:color="auto"/>
              <w:right w:val="single" w:sz="4" w:space="0" w:color="auto"/>
            </w:tcBorders>
          </w:tcPr>
          <w:p w14:paraId="4BA607B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3B839D0D"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432CC8D3"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Подаци су јавно доступни, а самим тиме доступни и за прекограничну поновну употребу, без ограничења (у скаду са законом).</w:t>
            </w:r>
          </w:p>
        </w:tc>
        <w:tc>
          <w:tcPr>
            <w:tcW w:w="535" w:type="pct"/>
            <w:tcBorders>
              <w:top w:val="single" w:sz="4" w:space="0" w:color="auto"/>
              <w:left w:val="single" w:sz="4" w:space="0" w:color="auto"/>
              <w:bottom w:val="single" w:sz="4" w:space="0" w:color="auto"/>
              <w:right w:val="single" w:sz="4" w:space="0" w:color="auto"/>
            </w:tcBorders>
          </w:tcPr>
          <w:p w14:paraId="28211CF9"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6E73F83A"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41E8A4F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11.2.</w:t>
            </w:r>
          </w:p>
        </w:tc>
        <w:tc>
          <w:tcPr>
            <w:tcW w:w="945" w:type="pct"/>
            <w:tcBorders>
              <w:top w:val="single" w:sz="4" w:space="0" w:color="auto"/>
              <w:left w:val="single" w:sz="4" w:space="0" w:color="auto"/>
              <w:bottom w:val="single" w:sz="4" w:space="0" w:color="auto"/>
              <w:right w:val="single" w:sz="4" w:space="0" w:color="auto"/>
            </w:tcBorders>
          </w:tcPr>
          <w:p w14:paraId="150C9489"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w:t>
            </w:r>
            <w:bookmarkStart w:id="3" w:name="_Hlk101906294"/>
            <w:r w:rsidRPr="008F0CED">
              <w:rPr>
                <w:rFonts w:ascii="Times New Roman" w:hAnsi="Times New Roman" w:cs="Times New Roman"/>
                <w:sz w:val="20"/>
                <w:szCs w:val="20"/>
                <w:lang w:val="en-GB" w:eastAsia="en-GB"/>
              </w:rPr>
              <w:t>If documents are re-used by a public sector body as input for its commercial activities which fall outside the scope of its public tasks, the same charges and other conditions shall apply to the supply of the documents for those activities as apply to other users.</w:t>
            </w:r>
            <w:bookmarkEnd w:id="3"/>
          </w:p>
        </w:tc>
        <w:tc>
          <w:tcPr>
            <w:tcW w:w="324" w:type="pct"/>
            <w:tcBorders>
              <w:top w:val="single" w:sz="4" w:space="0" w:color="auto"/>
              <w:left w:val="single" w:sz="4" w:space="0" w:color="auto"/>
              <w:bottom w:val="single" w:sz="4" w:space="0" w:color="auto"/>
              <w:right w:val="single" w:sz="4" w:space="0" w:color="auto"/>
            </w:tcBorders>
          </w:tcPr>
          <w:p w14:paraId="1EAAFD39"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26а 1</w:t>
            </w:r>
            <w:r w:rsidRPr="008F0CED">
              <w:rPr>
                <w:rFonts w:ascii="Times New Roman" w:hAnsi="Times New Roman" w:cs="Times New Roman"/>
                <w:sz w:val="20"/>
                <w:szCs w:val="20"/>
                <w:lang w:val="sr-Cyrl-RS" w:eastAsia="en-GB"/>
              </w:rPr>
              <w:t>5</w:t>
            </w:r>
            <w:r w:rsidRPr="008F0CED">
              <w:rPr>
                <w:rFonts w:ascii="Times New Roman" w:hAnsi="Times New Roman" w:cs="Times New Roman"/>
                <w:sz w:val="20"/>
                <w:szCs w:val="20"/>
                <w:lang w:val="en-GB" w:eastAsia="en-GB"/>
              </w:rPr>
              <w:t>.</w:t>
            </w:r>
          </w:p>
        </w:tc>
        <w:tc>
          <w:tcPr>
            <w:tcW w:w="1231" w:type="pct"/>
            <w:tcBorders>
              <w:top w:val="single" w:sz="4" w:space="0" w:color="auto"/>
              <w:left w:val="single" w:sz="4" w:space="0" w:color="auto"/>
              <w:bottom w:val="single" w:sz="4" w:space="0" w:color="auto"/>
              <w:right w:val="single" w:sz="4" w:space="0" w:color="auto"/>
            </w:tcBorders>
          </w:tcPr>
          <w:p w14:paraId="20C1490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АКО ОРГАН РАСПОЛАЖЕ ПОДАЦИМА КОЈИ СУ НАСТАЛИ У ВРШЕЊУ ЈАВНИХ ОВЛАШПЋЕЊА, А КОРИСТИ ИХ У СВОЈИМ КОМЕРЦИЈАЛНИМ АКТИВНОСТИМА, ДУЖАН ЈЕ ДА ПЛАТИ НАКНАДУ ЗА ПРЕУЗИМАЊЕ ТИХ ПОДАТAКA</w:t>
            </w:r>
            <w:r w:rsidRPr="008F0CED">
              <w:rPr>
                <w:rFonts w:ascii="Times New Roman" w:hAnsi="Times New Roman" w:cs="Times New Roman"/>
                <w:sz w:val="20"/>
                <w:szCs w:val="20"/>
                <w:lang w:val="sr-Cyrl-RS" w:eastAsia="en-GB"/>
              </w:rPr>
              <w:t xml:space="preserve"> АКО ЈЕ УТВРЂЕНА НАКНАДА</w:t>
            </w:r>
            <w:r w:rsidRPr="008F0CED">
              <w:rPr>
                <w:rFonts w:ascii="Times New Roman" w:hAnsi="Times New Roman" w:cs="Times New Roman"/>
                <w:sz w:val="20"/>
                <w:szCs w:val="20"/>
                <w:lang w:val="en-GB" w:eastAsia="en-GB"/>
              </w:rPr>
              <w:t>, ОСИМ АКО ПОСЕБНИМ ЗАКОНОМ НИЈЕ ДРУГАЧИЈЕ УРЕЂЕНО.</w:t>
            </w:r>
          </w:p>
        </w:tc>
        <w:tc>
          <w:tcPr>
            <w:tcW w:w="442" w:type="pct"/>
            <w:tcBorders>
              <w:top w:val="single" w:sz="4" w:space="0" w:color="auto"/>
              <w:left w:val="single" w:sz="4" w:space="0" w:color="auto"/>
              <w:bottom w:val="single" w:sz="4" w:space="0" w:color="auto"/>
              <w:right w:val="single" w:sz="4" w:space="0" w:color="auto"/>
            </w:tcBorders>
          </w:tcPr>
          <w:p w14:paraId="321C4D4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02CDFA5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330A532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2E2577D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17345167"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7206C9F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12.1.</w:t>
            </w:r>
          </w:p>
        </w:tc>
        <w:tc>
          <w:tcPr>
            <w:tcW w:w="945" w:type="pct"/>
            <w:tcBorders>
              <w:top w:val="single" w:sz="4" w:space="0" w:color="auto"/>
              <w:left w:val="single" w:sz="4" w:space="0" w:color="auto"/>
              <w:bottom w:val="single" w:sz="4" w:space="0" w:color="auto"/>
              <w:right w:val="single" w:sz="4" w:space="0" w:color="auto"/>
            </w:tcBorders>
          </w:tcPr>
          <w:p w14:paraId="097E32F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1.The re-use of documents shall be open to all potential actors in the market, even if one or more market actors already exploit added-value products based on those documents. Contracts or other arrangements between the public sector bodies or public undertakings holding the documents and third parties shall not grant exclusive rights.</w:t>
            </w:r>
          </w:p>
        </w:tc>
        <w:tc>
          <w:tcPr>
            <w:tcW w:w="324" w:type="pct"/>
            <w:tcBorders>
              <w:top w:val="single" w:sz="4" w:space="0" w:color="auto"/>
              <w:left w:val="single" w:sz="4" w:space="0" w:color="auto"/>
              <w:bottom w:val="single" w:sz="4" w:space="0" w:color="auto"/>
              <w:right w:val="single" w:sz="4" w:space="0" w:color="auto"/>
            </w:tcBorders>
          </w:tcPr>
          <w:p w14:paraId="4974FBED"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en-GB" w:eastAsia="en-GB"/>
              </w:rPr>
              <w:t>25.</w:t>
            </w:r>
            <w:r w:rsidRPr="008F0CED">
              <w:rPr>
                <w:rFonts w:ascii="Times New Roman" w:hAnsi="Times New Roman" w:cs="Times New Roman"/>
                <w:sz w:val="20"/>
                <w:szCs w:val="20"/>
                <w:lang w:val="sr-Cyrl-RS" w:eastAsia="en-GB"/>
              </w:rPr>
              <w:t>2.</w:t>
            </w:r>
          </w:p>
          <w:p w14:paraId="27F18BAA"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26.5.</w:t>
            </w:r>
          </w:p>
        </w:tc>
        <w:tc>
          <w:tcPr>
            <w:tcW w:w="1231" w:type="pct"/>
            <w:tcBorders>
              <w:top w:val="single" w:sz="4" w:space="0" w:color="auto"/>
              <w:left w:val="single" w:sz="4" w:space="0" w:color="auto"/>
              <w:bottom w:val="single" w:sz="4" w:space="0" w:color="auto"/>
              <w:right w:val="single" w:sz="4" w:space="0" w:color="auto"/>
            </w:tcBorders>
          </w:tcPr>
          <w:p w14:paraId="7887C70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ПОНОВНА УПОТРЕБА ПОДАТАКА ДОПУШТЕНА ЈЕ И ДОСТУПНА СВИМА И ПОД ИСТИМ УСЛОВИМА.</w:t>
            </w:r>
          </w:p>
          <w:p w14:paraId="0BEC5D2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ОРГАН НЕ МОЖЕ УГОВОРОМ ИЛИ ДРУГИМ СПОРАЗУМОМ ИЛИ ОДЛУКОМ ОДОБРИТИ ЈЕДНОМ </w:t>
            </w:r>
            <w:r w:rsidRPr="008F0CED">
              <w:rPr>
                <w:rFonts w:ascii="Times New Roman" w:hAnsi="Times New Roman" w:cs="Times New Roman"/>
                <w:sz w:val="20"/>
                <w:szCs w:val="20"/>
                <w:lang w:val="sr-Cyrl-RS" w:eastAsia="en-GB"/>
              </w:rPr>
              <w:t>ЛИЦУ</w:t>
            </w:r>
            <w:r w:rsidRPr="008F0CED">
              <w:rPr>
                <w:rFonts w:ascii="Times New Roman" w:hAnsi="Times New Roman" w:cs="Times New Roman"/>
                <w:sz w:val="20"/>
                <w:szCs w:val="20"/>
                <w:lang w:val="en-GB" w:eastAsia="en-GB"/>
              </w:rPr>
              <w:t xml:space="preserve"> ПОНОВНУ УПОТРЕБУ ПОДАТАКА КОЈА БИ СПРЕЧИЛА ПОНОВНУ УПОТРЕБУ ТИХ ПОДАТАКА ОД СТРАНЕ ДРУГИХ </w:t>
            </w:r>
            <w:r w:rsidRPr="008F0CED">
              <w:rPr>
                <w:rFonts w:ascii="Times New Roman" w:hAnsi="Times New Roman" w:cs="Times New Roman"/>
                <w:sz w:val="20"/>
                <w:szCs w:val="20"/>
                <w:lang w:val="sr-Cyrl-RS" w:eastAsia="en-GB"/>
              </w:rPr>
              <w:t>ЛИЦА</w:t>
            </w:r>
            <w:r w:rsidRPr="008F0CED">
              <w:rPr>
                <w:rFonts w:ascii="Times New Roman" w:hAnsi="Times New Roman" w:cs="Times New Roman"/>
                <w:sz w:val="20"/>
                <w:szCs w:val="20"/>
                <w:lang w:val="en-GB" w:eastAsia="en-GB"/>
              </w:rPr>
              <w:t>.</w:t>
            </w:r>
          </w:p>
        </w:tc>
        <w:tc>
          <w:tcPr>
            <w:tcW w:w="442" w:type="pct"/>
            <w:tcBorders>
              <w:top w:val="single" w:sz="4" w:space="0" w:color="auto"/>
              <w:left w:val="single" w:sz="4" w:space="0" w:color="auto"/>
              <w:bottom w:val="single" w:sz="4" w:space="0" w:color="auto"/>
              <w:right w:val="single" w:sz="4" w:space="0" w:color="auto"/>
            </w:tcBorders>
          </w:tcPr>
          <w:p w14:paraId="05BF28D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118EA15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p>
        </w:tc>
        <w:tc>
          <w:tcPr>
            <w:tcW w:w="513" w:type="pct"/>
            <w:tcBorders>
              <w:top w:val="single" w:sz="4" w:space="0" w:color="auto"/>
              <w:left w:val="single" w:sz="4" w:space="0" w:color="auto"/>
              <w:bottom w:val="single" w:sz="4" w:space="0" w:color="auto"/>
              <w:right w:val="single" w:sz="4" w:space="0" w:color="auto"/>
            </w:tcBorders>
          </w:tcPr>
          <w:p w14:paraId="27D13DC9"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213C090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57809C78"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4D23A4C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12.2.</w:t>
            </w:r>
          </w:p>
        </w:tc>
        <w:tc>
          <w:tcPr>
            <w:tcW w:w="945" w:type="pct"/>
            <w:tcBorders>
              <w:top w:val="single" w:sz="4" w:space="0" w:color="auto"/>
              <w:left w:val="single" w:sz="4" w:space="0" w:color="auto"/>
              <w:bottom w:val="single" w:sz="4" w:space="0" w:color="auto"/>
              <w:right w:val="single" w:sz="4" w:space="0" w:color="auto"/>
            </w:tcBorders>
          </w:tcPr>
          <w:p w14:paraId="6B7611C7"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2.However, where an exclusive right is necessary for the provision of a service in the public interest, the validity of the reason for granting such an exclusive right shall be subject to regular review, and shall, in any event, be reviewed every three years. The exclusive arrangements established on or after 16 July 2019 shall be made publicly available online at least two months before they come into effect. The final terms of such arrangements shall be transparent and shall made publicly available online.</w:t>
            </w:r>
          </w:p>
          <w:p w14:paraId="2B95002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This paragraph shall not apply to digitisation of cultural resources.</w:t>
            </w:r>
          </w:p>
        </w:tc>
        <w:tc>
          <w:tcPr>
            <w:tcW w:w="324" w:type="pct"/>
            <w:tcBorders>
              <w:top w:val="single" w:sz="4" w:space="0" w:color="auto"/>
              <w:left w:val="single" w:sz="4" w:space="0" w:color="auto"/>
              <w:bottom w:val="single" w:sz="4" w:space="0" w:color="auto"/>
              <w:right w:val="single" w:sz="4" w:space="0" w:color="auto"/>
            </w:tcBorders>
          </w:tcPr>
          <w:p w14:paraId="0E345BA6"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26.6.</w:t>
            </w:r>
          </w:p>
          <w:p w14:paraId="09ACA39C"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26.7.</w:t>
            </w:r>
          </w:p>
        </w:tc>
        <w:tc>
          <w:tcPr>
            <w:tcW w:w="1231" w:type="pct"/>
            <w:tcBorders>
              <w:top w:val="single" w:sz="4" w:space="0" w:color="auto"/>
              <w:left w:val="single" w:sz="4" w:space="0" w:color="auto"/>
              <w:bottom w:val="single" w:sz="4" w:space="0" w:color="auto"/>
              <w:right w:val="single" w:sz="4" w:space="0" w:color="auto"/>
            </w:tcBorders>
          </w:tcPr>
          <w:p w14:paraId="3F0D42E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ИЗУЗЕТНО, ОРГАН МОЖЕ ДОДЕЛИТИ ИСКЉУЧИВО ПРАВО НА ПОНОВНУ УПОТРЕБУ ПОДАТАКА ТРЕЋЕМ ЛИЦУ:</w:t>
            </w:r>
          </w:p>
          <w:p w14:paraId="7ACC90B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1)АКО ЈЕ ТО НЕОПХОДНО ЗА ПРУЖАЊЕ УСЛУГА У ЈАВНОМ ИНТЕРЕСУ, ШТО СЕ ПРЕИСПИТУЈЕ НА СВАКЕ ТРИ ГОДИНЕ ИЛИ</w:t>
            </w:r>
          </w:p>
          <w:p w14:paraId="14D81BB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2)АКО СЕ ПРАВО НА ПОНОВНУ УПОТРЕБУ ПОДАТАКА ОДНОСИ НА ДИГИТАЛИЗАЦИЈУ КУЛТУРНИХ ДОБАРА, КОЈЕ ПО ПРАВИЛУ НЕ МОЖЕ ТРАЈАТИ ДУЖЕ ОД 10 ГОДИНА, А УКОЛИКО ТРАЈЕ ДУЖЕ ПРЕИСПИТУЈЕ СЕ ТОКОМ ЈЕДАНАЕСТЕ ГОДИНЕ ТРАЈАЊА ПРАВА И СВАКИХ СЕДАМ ГОДИНА НАКОН ТОГА, АКО ЈЕ ПРИМЕНЉИВО.</w:t>
            </w:r>
          </w:p>
          <w:p w14:paraId="41ACED1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УСЛОВИ ДОДЕЛЕ И НАЧИН КОРИШЋЕЊА ИСКЉУЧИВОГ ПРАВА ИЗ СТАВА 3. ОВОГ ЧЛАНА МОРАЈУ БИТИ ТРАНСПАРЕНТНИ И ЈАВНО ОБЈАВЉЕНИ НА ВЕБ ПРЕЗЕНТАЦИЈИ ОРГАНА.</w:t>
            </w:r>
          </w:p>
        </w:tc>
        <w:tc>
          <w:tcPr>
            <w:tcW w:w="442" w:type="pct"/>
            <w:tcBorders>
              <w:top w:val="single" w:sz="4" w:space="0" w:color="auto"/>
              <w:left w:val="single" w:sz="4" w:space="0" w:color="auto"/>
              <w:bottom w:val="single" w:sz="4" w:space="0" w:color="auto"/>
              <w:right w:val="single" w:sz="4" w:space="0" w:color="auto"/>
            </w:tcBorders>
          </w:tcPr>
          <w:p w14:paraId="2211480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0C04195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144DFE2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0F1C9B5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54DF7726"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7BFF7A1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12.3.</w:t>
            </w:r>
          </w:p>
        </w:tc>
        <w:tc>
          <w:tcPr>
            <w:tcW w:w="945" w:type="pct"/>
            <w:tcBorders>
              <w:top w:val="single" w:sz="4" w:space="0" w:color="auto"/>
              <w:left w:val="single" w:sz="4" w:space="0" w:color="auto"/>
              <w:bottom w:val="single" w:sz="4" w:space="0" w:color="auto"/>
              <w:right w:val="single" w:sz="4" w:space="0" w:color="auto"/>
            </w:tcBorders>
          </w:tcPr>
          <w:p w14:paraId="12FB9DA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3.Notwithstanding paragraph 1, where an exclusive right relates to the digitisation of cultural resources, the period of exclusivity shall in general not exceed 10 years. Where that period exceeds 10 years, its duration shall be subject to review during the 11th year and, if applicable, every seven years thereafter.</w:t>
            </w:r>
          </w:p>
          <w:p w14:paraId="59DC96B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The arrangements granting exclusive rights referred to in the first subparagraph shall be transparent and made public.</w:t>
            </w:r>
          </w:p>
          <w:p w14:paraId="7E8FC6E5"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In the case of an exclusive right referred to in the first subparagraph, the public sector body concerned shall be provided free of charge with a copy of the digitised cultural resources as part of those arrangements. That copy shall be available for re-use at the end of the period of exclusivity.</w:t>
            </w:r>
          </w:p>
        </w:tc>
        <w:tc>
          <w:tcPr>
            <w:tcW w:w="324" w:type="pct"/>
            <w:tcBorders>
              <w:top w:val="single" w:sz="4" w:space="0" w:color="auto"/>
              <w:left w:val="single" w:sz="4" w:space="0" w:color="auto"/>
              <w:bottom w:val="single" w:sz="4" w:space="0" w:color="auto"/>
              <w:right w:val="single" w:sz="4" w:space="0" w:color="auto"/>
            </w:tcBorders>
          </w:tcPr>
          <w:p w14:paraId="6CCE3128"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26.6.2)</w:t>
            </w:r>
          </w:p>
          <w:p w14:paraId="3D40B003"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26.8.</w:t>
            </w:r>
          </w:p>
        </w:tc>
        <w:tc>
          <w:tcPr>
            <w:tcW w:w="1231" w:type="pct"/>
            <w:tcBorders>
              <w:top w:val="single" w:sz="4" w:space="0" w:color="auto"/>
              <w:left w:val="single" w:sz="4" w:space="0" w:color="auto"/>
              <w:bottom w:val="single" w:sz="4" w:space="0" w:color="auto"/>
              <w:right w:val="single" w:sz="4" w:space="0" w:color="auto"/>
            </w:tcBorders>
          </w:tcPr>
          <w:p w14:paraId="75AD2CE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ИЗУЗЕТНО, ОРГАН МОЖЕ ДОДЕЛИТИ ИСКЉУЧИВО ПРАВО НА ПОНОВНУ УПОТРЕБУ ПОДАТАКА ТРЕЋЕМ ЛИЦУ:</w:t>
            </w:r>
          </w:p>
          <w:p w14:paraId="0FA023D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0D8A952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2)АКО СЕ ПРАВО НА ПОНОВНУ УПОТРЕБУ ПОДАТАКА ОДНОСИ НА ДИГИТАЛИЗАЦИЈУ КУЛТУРНИХ ДОБАРА, КОЈЕ ПО ПРАВИЛУ НЕ МОЖЕ ТРАЈАТИ ДУЖЕ ОД 10 ГОДИНА, А УКОЛИКО ТРАЈЕ ДУЖЕ ПРЕИСПИТУЈЕ СЕ ТОКОМ ЈЕДАНАЕСТЕ ГОДИНЕ ТРАЈАЊА ПРАВА И СВАКИХ СЕДАМ ГОДИНА НАКОН ТОГА, АКО ЈЕ ПРИМЕНЉИВО.</w:t>
            </w:r>
          </w:p>
          <w:p w14:paraId="188850D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4092C60A"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У СЛУЧАЈУ ДОДЕЛЕ ИСКЉУЧИВОГ ПРАВА ИЗ СТАВА 1</w:t>
            </w:r>
            <w:r w:rsidRPr="008F0CED">
              <w:rPr>
                <w:rFonts w:ascii="Times New Roman" w:hAnsi="Times New Roman" w:cs="Times New Roman"/>
                <w:sz w:val="20"/>
                <w:szCs w:val="20"/>
                <w:lang w:val="sr-Cyrl-RS" w:eastAsia="en-GB"/>
              </w:rPr>
              <w:t>3</w:t>
            </w:r>
            <w:r w:rsidRPr="008F0CED">
              <w:rPr>
                <w:rFonts w:ascii="Times New Roman" w:hAnsi="Times New Roman" w:cs="Times New Roman"/>
                <w:sz w:val="20"/>
                <w:szCs w:val="20"/>
                <w:lang w:val="en-GB" w:eastAsia="en-GB"/>
              </w:rPr>
              <w:t xml:space="preserve">. ТАЧКА 2) ОВОГ ЧЛАНА, СТИЦАЛАЦ ТОГ ПРАВА ЈЕ ДУЖАН ДА ОРГАНУ ОБЕЗБЕДИ КОПИЈУ ДИГИТАЛИЗОВАНИХ КУЛТУРНИХ ДОБАРА БЕЗ НАКНАДЕ КОЈА ЋЕ БИТИ ДОСТУПНА ЗА ПОНОВНУ УПОТРЕБУ </w:t>
            </w:r>
            <w:r w:rsidRPr="008F0CED">
              <w:rPr>
                <w:rFonts w:ascii="Times New Roman" w:hAnsi="Times New Roman" w:cs="Times New Roman"/>
                <w:sz w:val="20"/>
                <w:szCs w:val="20"/>
                <w:lang w:val="sr-Cyrl-RS" w:eastAsia="en-GB"/>
              </w:rPr>
              <w:t>НАКОН ИСТЕКА</w:t>
            </w:r>
            <w:r w:rsidRPr="008F0CED">
              <w:rPr>
                <w:rFonts w:ascii="Times New Roman" w:hAnsi="Times New Roman" w:cs="Times New Roman"/>
                <w:sz w:val="20"/>
                <w:szCs w:val="20"/>
                <w:lang w:val="en-GB" w:eastAsia="en-GB"/>
              </w:rPr>
              <w:t xml:space="preserve"> ПЕРИОДА ТРАЈАЊА ИСКЉУЧИВОСТИ ПРАВА.</w:t>
            </w:r>
          </w:p>
        </w:tc>
        <w:tc>
          <w:tcPr>
            <w:tcW w:w="442" w:type="pct"/>
            <w:tcBorders>
              <w:top w:val="single" w:sz="4" w:space="0" w:color="auto"/>
              <w:left w:val="single" w:sz="4" w:space="0" w:color="auto"/>
              <w:bottom w:val="single" w:sz="4" w:space="0" w:color="auto"/>
              <w:right w:val="single" w:sz="4" w:space="0" w:color="auto"/>
            </w:tcBorders>
          </w:tcPr>
          <w:p w14:paraId="59C4375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578CBA6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4CD9116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3E7CCD5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35657EAE"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BEACB2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12.4.</w:t>
            </w:r>
          </w:p>
        </w:tc>
        <w:tc>
          <w:tcPr>
            <w:tcW w:w="945" w:type="pct"/>
            <w:tcBorders>
              <w:top w:val="single" w:sz="4" w:space="0" w:color="auto"/>
              <w:left w:val="single" w:sz="4" w:space="0" w:color="auto"/>
              <w:bottom w:val="single" w:sz="4" w:space="0" w:color="auto"/>
              <w:right w:val="single" w:sz="4" w:space="0" w:color="auto"/>
            </w:tcBorders>
          </w:tcPr>
          <w:p w14:paraId="197FF1DB"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4.Legal or practical arrangements that, without expressly granting an exclusive right, aim at, or could reasonably be expected to lead to, a restricted availability for the re-use of documents by entities other than the third party participating in the arrangement, shall be made publicly available online at least two months before their coming into effect. The effect of such legal or practical arrangements on the availability of data for re-use shall be subject to regular reviews and shall, in any event, be reviewed every three years. The final terms of such arrangements shall be transparent and made publicly available online.</w:t>
            </w:r>
          </w:p>
        </w:tc>
        <w:tc>
          <w:tcPr>
            <w:tcW w:w="324" w:type="pct"/>
            <w:tcBorders>
              <w:top w:val="single" w:sz="4" w:space="0" w:color="auto"/>
              <w:left w:val="single" w:sz="4" w:space="0" w:color="auto"/>
              <w:bottom w:val="single" w:sz="4" w:space="0" w:color="auto"/>
              <w:right w:val="single" w:sz="4" w:space="0" w:color="auto"/>
            </w:tcBorders>
          </w:tcPr>
          <w:p w14:paraId="5C6E26DD"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26.9.</w:t>
            </w:r>
          </w:p>
          <w:p w14:paraId="08D5D0FE"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26.10.</w:t>
            </w:r>
          </w:p>
        </w:tc>
        <w:tc>
          <w:tcPr>
            <w:tcW w:w="1231" w:type="pct"/>
            <w:tcBorders>
              <w:top w:val="single" w:sz="4" w:space="0" w:color="auto"/>
              <w:left w:val="single" w:sz="4" w:space="0" w:color="auto"/>
              <w:bottom w:val="single" w:sz="4" w:space="0" w:color="auto"/>
              <w:right w:val="single" w:sz="4" w:space="0" w:color="auto"/>
            </w:tcBorders>
          </w:tcPr>
          <w:p w14:paraId="0DBF588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ОРГАН ЈЕ ДУЖАН ДА УЧИНИ ДОСТУПНИМ НА СВОЈОЈ ВЕБ ПРЕЗЕНТАЦИЈИ, НАЈМАЊЕ ДВА МЕСЕЦА ПРЕ СТУПАЊА НА СНАГУ, УГОВОР, СПОРАЗУМ ИЛИ ОДЛУКУ И ИНФОРМАЦИЈЕ О ПРАВНИМ ОДНОСИМА:</w:t>
            </w:r>
          </w:p>
          <w:p w14:paraId="00B4B626"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1) КОЈИМА СЕ ЗАСНИВАЈУ ИСКЉУЧИВА ПРАВА НА ПОНОВНУ УПОТРЕБУ ПОДАТАКА У СКЛАДУ СА СТАВОМ </w:t>
            </w:r>
            <w:r w:rsidRPr="008F0CED">
              <w:rPr>
                <w:rFonts w:ascii="Times New Roman" w:hAnsi="Times New Roman" w:cs="Times New Roman"/>
                <w:sz w:val="20"/>
                <w:szCs w:val="20"/>
                <w:lang w:val="sr-Cyrl-RS" w:eastAsia="en-GB"/>
              </w:rPr>
              <w:t>1</w:t>
            </w:r>
            <w:r w:rsidRPr="008F0CED">
              <w:rPr>
                <w:rFonts w:ascii="Times New Roman" w:hAnsi="Times New Roman" w:cs="Times New Roman"/>
                <w:sz w:val="20"/>
                <w:szCs w:val="20"/>
                <w:lang w:val="en-GB" w:eastAsia="en-GB"/>
              </w:rPr>
              <w:t xml:space="preserve">3. ОВОГ ЧЛАНА ИЛИ </w:t>
            </w:r>
          </w:p>
          <w:p w14:paraId="2FBC87A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2) КОЈИМА СЕ НЕ ЗАСНИВАЈУ ИСКЉУЧИВА ПРАВА НА ПОНОВНУ УПОТРЕБУ ПОДАТАКА АЛИ КОЈА ИМАЈУ ЗА ЦИЉ ИЛИ ПО СВОМ ЕФЕКТУ МОГУ ДОВЕСТИ ДО ОГРАНИЧЕНЕ ДОСТУПНОСТИ </w:t>
            </w:r>
            <w:r w:rsidRPr="008F0CED">
              <w:rPr>
                <w:rFonts w:ascii="Times New Roman" w:hAnsi="Times New Roman" w:cs="Times New Roman"/>
                <w:sz w:val="20"/>
                <w:szCs w:val="20"/>
                <w:lang w:val="sr-Cyrl-RS" w:eastAsia="en-GB"/>
              </w:rPr>
              <w:t xml:space="preserve">ПОДАТАКА </w:t>
            </w:r>
            <w:r w:rsidRPr="008F0CED">
              <w:rPr>
                <w:rFonts w:ascii="Times New Roman" w:hAnsi="Times New Roman" w:cs="Times New Roman"/>
                <w:sz w:val="20"/>
                <w:szCs w:val="20"/>
                <w:lang w:val="en-GB" w:eastAsia="en-GB"/>
              </w:rPr>
              <w:t>ЗА ПОНОВНУ УПОТРЕБУ У СКЛАДУ СА СТАВОМ 9. ОВОГ ЧЛАНА.</w:t>
            </w:r>
          </w:p>
          <w:p w14:paraId="6EABEB5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У СЛУЧАЈУ ИЗ СТАВА 16. ТАЧКА 2) ОВОГ ЧЛАНА ОРГАН ЈЕ ДУЖАН ДА ПРЕИСПИТА ЕФЕКАТ ТАКВИХ УГОВОРА, СПОРАЗУМА, ОДЛУКА </w:t>
            </w:r>
            <w:r w:rsidRPr="008F0CED">
              <w:rPr>
                <w:rFonts w:ascii="Times New Roman" w:hAnsi="Times New Roman" w:cs="Times New Roman"/>
                <w:sz w:val="20"/>
                <w:szCs w:val="20"/>
                <w:lang w:val="sr-Cyrl-RS" w:eastAsia="en-GB"/>
              </w:rPr>
              <w:t>ОДНОСНО</w:t>
            </w:r>
            <w:r w:rsidRPr="008F0CED">
              <w:rPr>
                <w:rFonts w:ascii="Times New Roman" w:hAnsi="Times New Roman" w:cs="Times New Roman"/>
                <w:sz w:val="20"/>
                <w:szCs w:val="20"/>
                <w:lang w:val="en-GB" w:eastAsia="en-GB"/>
              </w:rPr>
              <w:t xml:space="preserve"> ПРАВНИХ ОДНОСА НА ДОСТУПНОСТ ПОДАТАКА ЗА ПОНОВНУ УПОТРЕБУ НА СВАКЕ ТРИ ГОДИНЕ И ДА ИНФОРМАЦИЈЕ О ТОМЕ УЧИНИ ЈАВНО ДОСТУПНИМ НА СВОЈОЈ ВЕБ ПРЕЗЕНТАЦИЈИ.</w:t>
            </w:r>
          </w:p>
        </w:tc>
        <w:tc>
          <w:tcPr>
            <w:tcW w:w="442" w:type="pct"/>
            <w:tcBorders>
              <w:top w:val="single" w:sz="4" w:space="0" w:color="auto"/>
              <w:left w:val="single" w:sz="4" w:space="0" w:color="auto"/>
              <w:bottom w:val="single" w:sz="4" w:space="0" w:color="auto"/>
              <w:right w:val="single" w:sz="4" w:space="0" w:color="auto"/>
            </w:tcBorders>
          </w:tcPr>
          <w:p w14:paraId="546FD19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60C7740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5EBB0DE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49113D3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3932EFED"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1B9B90C"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12.5.</w:t>
            </w:r>
          </w:p>
        </w:tc>
        <w:tc>
          <w:tcPr>
            <w:tcW w:w="945" w:type="pct"/>
            <w:tcBorders>
              <w:top w:val="single" w:sz="4" w:space="0" w:color="auto"/>
              <w:left w:val="single" w:sz="4" w:space="0" w:color="auto"/>
              <w:bottom w:val="single" w:sz="4" w:space="0" w:color="auto"/>
              <w:right w:val="single" w:sz="4" w:space="0" w:color="auto"/>
            </w:tcBorders>
          </w:tcPr>
          <w:p w14:paraId="1CFCC10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5.Exclusive arrangements existing on 17 July 2013 that do not qualify for the exceptions set out in paragraphs 2 and 3 and that were entered into by public sector bodies shall be terminated at the end of the contract and in any event not later than on 18 July 2043. Exclusive arrangements existing on 16 July 2019 that do not qualify for the exceptions set out in paragraphs 2 and 3, and that were entered into by public undertakings, shall be terminated at the end of the contract and in any event not later than on 17 July 2049.</w:t>
            </w:r>
          </w:p>
        </w:tc>
        <w:tc>
          <w:tcPr>
            <w:tcW w:w="324" w:type="pct"/>
            <w:tcBorders>
              <w:top w:val="single" w:sz="4" w:space="0" w:color="auto"/>
              <w:left w:val="single" w:sz="4" w:space="0" w:color="auto"/>
              <w:bottom w:val="single" w:sz="4" w:space="0" w:color="auto"/>
              <w:right w:val="single" w:sz="4" w:space="0" w:color="auto"/>
            </w:tcBorders>
          </w:tcPr>
          <w:p w14:paraId="2786D256"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7A3FF31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025D04D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НП</w:t>
            </w:r>
          </w:p>
        </w:tc>
        <w:tc>
          <w:tcPr>
            <w:tcW w:w="599" w:type="pct"/>
            <w:gridSpan w:val="2"/>
            <w:tcBorders>
              <w:top w:val="single" w:sz="4" w:space="0" w:color="auto"/>
              <w:left w:val="single" w:sz="4" w:space="0" w:color="auto"/>
              <w:bottom w:val="single" w:sz="4" w:space="0" w:color="auto"/>
              <w:right w:val="single" w:sz="4" w:space="0" w:color="auto"/>
            </w:tcBorders>
          </w:tcPr>
          <w:p w14:paraId="458F2CA1"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Имајући у виду да искључиво право на поновну употребу представља нови правни институт, не постоје овакви споразуми те није потребно уређивати ово питање</w:t>
            </w:r>
            <w:r w:rsidRPr="008F0CED">
              <w:rPr>
                <w:rFonts w:ascii="Times New Roman" w:hAnsi="Times New Roman" w:cs="Times New Roman"/>
                <w:sz w:val="20"/>
                <w:szCs w:val="20"/>
                <w:lang w:val="sr-Latn-RS" w:eastAsia="en-GB"/>
              </w:rPr>
              <w:t>.</w:t>
            </w:r>
            <w:r w:rsidRPr="008F0CED">
              <w:rPr>
                <w:rFonts w:ascii="Times New Roman" w:hAnsi="Times New Roman" w:cs="Times New Roman"/>
                <w:sz w:val="20"/>
                <w:szCs w:val="20"/>
                <w:lang w:val="en-GB" w:eastAsia="en-GB"/>
              </w:rPr>
              <w:t xml:space="preserve"> </w:t>
            </w:r>
          </w:p>
        </w:tc>
        <w:tc>
          <w:tcPr>
            <w:tcW w:w="513" w:type="pct"/>
            <w:tcBorders>
              <w:top w:val="single" w:sz="4" w:space="0" w:color="auto"/>
              <w:left w:val="single" w:sz="4" w:space="0" w:color="auto"/>
              <w:bottom w:val="single" w:sz="4" w:space="0" w:color="auto"/>
              <w:right w:val="single" w:sz="4" w:space="0" w:color="auto"/>
            </w:tcBorders>
          </w:tcPr>
          <w:p w14:paraId="20B000B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1B196B3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3125EFA4"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722B33D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13.1.</w:t>
            </w:r>
          </w:p>
        </w:tc>
        <w:tc>
          <w:tcPr>
            <w:tcW w:w="945" w:type="pct"/>
            <w:tcBorders>
              <w:top w:val="single" w:sz="4" w:space="0" w:color="auto"/>
              <w:left w:val="single" w:sz="4" w:space="0" w:color="auto"/>
              <w:bottom w:val="single" w:sz="4" w:space="0" w:color="auto"/>
              <w:right w:val="single" w:sz="4" w:space="0" w:color="auto"/>
            </w:tcBorders>
          </w:tcPr>
          <w:p w14:paraId="7E7153D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1.In order to provide for conditions to support the re-use of high-value datasets, a list of thematic categories of such datasets is set out in Annex I.</w:t>
            </w:r>
          </w:p>
        </w:tc>
        <w:tc>
          <w:tcPr>
            <w:tcW w:w="324" w:type="pct"/>
            <w:tcBorders>
              <w:top w:val="single" w:sz="4" w:space="0" w:color="auto"/>
              <w:left w:val="single" w:sz="4" w:space="0" w:color="auto"/>
              <w:bottom w:val="single" w:sz="4" w:space="0" w:color="auto"/>
              <w:right w:val="single" w:sz="4" w:space="0" w:color="auto"/>
            </w:tcBorders>
          </w:tcPr>
          <w:p w14:paraId="5CA94B1F"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27Б 1.</w:t>
            </w:r>
          </w:p>
          <w:p w14:paraId="65B3C824"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27Б 3.</w:t>
            </w:r>
          </w:p>
        </w:tc>
        <w:tc>
          <w:tcPr>
            <w:tcW w:w="1231" w:type="pct"/>
            <w:tcBorders>
              <w:top w:val="single" w:sz="4" w:space="0" w:color="auto"/>
              <w:left w:val="single" w:sz="4" w:space="0" w:color="auto"/>
              <w:bottom w:val="single" w:sz="4" w:space="0" w:color="auto"/>
              <w:right w:val="single" w:sz="4" w:space="0" w:color="auto"/>
            </w:tcBorders>
          </w:tcPr>
          <w:p w14:paraId="3D11EBCA"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СКУПОВИ ПОДАТАКА </w:t>
            </w:r>
            <w:r w:rsidRPr="008F0CED">
              <w:rPr>
                <w:rFonts w:ascii="Times New Roman" w:hAnsi="Times New Roman" w:cs="Times New Roman"/>
                <w:sz w:val="20"/>
                <w:szCs w:val="20"/>
                <w:lang w:val="sr-Cyrl-RS" w:eastAsia="en-GB"/>
              </w:rPr>
              <w:t>ОД ПОСЕБНОГ ЗНАЧАЈА ЗА ПОНОВНУ УПОТРЕБУ</w:t>
            </w:r>
            <w:r w:rsidRPr="008F0CED">
              <w:rPr>
                <w:rFonts w:ascii="Times New Roman" w:hAnsi="Times New Roman" w:cs="Times New Roman"/>
                <w:sz w:val="20"/>
                <w:szCs w:val="20"/>
                <w:lang w:val="en-GB" w:eastAsia="en-GB"/>
              </w:rPr>
              <w:t xml:space="preserve"> УКЉУЧУЈУ ГЕОПРОСТОРНЕ, МЕТЕОРОЛОШКЕ, СТАТИСТИЧКЕ ПОДАТКЕ, КАО И ПОДАТКЕ О ЗАШТИТИ ЖИВОТНЕ СРЕДИНЕ, ПРИВРЕДНИМ ДРУШТИМА И МОБИЛНОСТИ.</w:t>
            </w:r>
          </w:p>
          <w:p w14:paraId="738F6EA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ОСИМ СКУПОВА ПОДАТАКА ИЗ СТАВА 1. ОВОГ ЧЛАНА, ВЛАДА МОЖЕ ОДРЕДИТИ И ДРУГЕ СКУПОВЕ ПОДАТАКА </w:t>
            </w:r>
            <w:r w:rsidRPr="008F0CED">
              <w:rPr>
                <w:rFonts w:ascii="Times New Roman" w:hAnsi="Times New Roman" w:cs="Times New Roman"/>
                <w:sz w:val="20"/>
                <w:szCs w:val="20"/>
                <w:lang w:val="sr-Cyrl-RS" w:eastAsia="en-GB"/>
              </w:rPr>
              <w:t>ОД ПОСЕБНОХ ЗНАЧАЈА ЗА ПОНОВНУ УПОТРЕБУ ЧИЈА УПОТРЕБА КОРИСТИ ВЕЛИКОМ БРОЈУ ЛИЦА, ЗНАЧАЈНА ЈЕ ЗА СТВАРАЊЕ ПРИХОДА, ПОЗИТИВНО УТИЧЕ НА ЖИВОТНУ СРЕДИНУ И ИНОВАТИВНЕ УСЛУГЕ, КАО И СТРУКТУРУ И ФОРМАТ ЗАПИСА, МЕТАПОДАТКЕ И ТЕХНИЧКЕ ЗАХТЕВЕ ЗА ПРИСТУП.</w:t>
            </w:r>
          </w:p>
        </w:tc>
        <w:tc>
          <w:tcPr>
            <w:tcW w:w="442" w:type="pct"/>
            <w:tcBorders>
              <w:top w:val="single" w:sz="4" w:space="0" w:color="auto"/>
              <w:left w:val="single" w:sz="4" w:space="0" w:color="auto"/>
              <w:bottom w:val="single" w:sz="4" w:space="0" w:color="auto"/>
              <w:right w:val="single" w:sz="4" w:space="0" w:color="auto"/>
            </w:tcBorders>
          </w:tcPr>
          <w:p w14:paraId="60943D4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31FFB385"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3996D04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69C1214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382C6CB0"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7673A6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13.2.</w:t>
            </w:r>
          </w:p>
        </w:tc>
        <w:tc>
          <w:tcPr>
            <w:tcW w:w="945" w:type="pct"/>
            <w:tcBorders>
              <w:top w:val="single" w:sz="4" w:space="0" w:color="auto"/>
              <w:left w:val="single" w:sz="4" w:space="0" w:color="auto"/>
              <w:bottom w:val="single" w:sz="4" w:space="0" w:color="auto"/>
              <w:right w:val="single" w:sz="4" w:space="0" w:color="auto"/>
            </w:tcBorders>
          </w:tcPr>
          <w:p w14:paraId="6E3924E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2.The Commission is empowered to adopt delegated acts in accordance with Article 15 in order to amend Annex I by adding new thematic categories of high-value datasets in order to reflect technological and market developments.</w:t>
            </w:r>
          </w:p>
        </w:tc>
        <w:tc>
          <w:tcPr>
            <w:tcW w:w="324" w:type="pct"/>
            <w:tcBorders>
              <w:top w:val="single" w:sz="4" w:space="0" w:color="auto"/>
              <w:left w:val="single" w:sz="4" w:space="0" w:color="auto"/>
              <w:bottom w:val="single" w:sz="4" w:space="0" w:color="auto"/>
              <w:right w:val="single" w:sz="4" w:space="0" w:color="auto"/>
            </w:tcBorders>
          </w:tcPr>
          <w:p w14:paraId="214908A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09DD058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7F2A8567"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НП</w:t>
            </w:r>
          </w:p>
        </w:tc>
        <w:tc>
          <w:tcPr>
            <w:tcW w:w="599" w:type="pct"/>
            <w:gridSpan w:val="2"/>
            <w:tcBorders>
              <w:top w:val="single" w:sz="4" w:space="0" w:color="auto"/>
              <w:left w:val="single" w:sz="4" w:space="0" w:color="auto"/>
              <w:bottom w:val="single" w:sz="4" w:space="0" w:color="auto"/>
              <w:right w:val="single" w:sz="4" w:space="0" w:color="auto"/>
            </w:tcBorders>
          </w:tcPr>
          <w:p w14:paraId="1D4CAD71" w14:textId="77777777" w:rsidR="008F0CED" w:rsidRPr="008F0CED" w:rsidRDefault="008F0CED" w:rsidP="008F0CED">
            <w:pPr>
              <w:tabs>
                <w:tab w:val="left" w:pos="2835"/>
              </w:tabs>
              <w:spacing w:before="120" w:after="120" w:line="240" w:lineRule="auto"/>
              <w:rPr>
                <w:rFonts w:ascii="Times New Roman" w:hAnsi="Times New Roman" w:cs="Times New Roman"/>
                <w:sz w:val="20"/>
                <w:szCs w:val="20"/>
                <w:lang w:val="en-GB" w:eastAsia="en-GB"/>
              </w:rPr>
            </w:pPr>
            <w:proofErr w:type="spellStart"/>
            <w:r w:rsidRPr="008F0CED">
              <w:rPr>
                <w:rFonts w:ascii="Times New Roman" w:hAnsi="Times New Roman" w:cs="Times New Roman"/>
                <w:sz w:val="20"/>
                <w:szCs w:val="20"/>
                <w:lang w:val="en-GB" w:eastAsia="en-GB"/>
              </w:rPr>
              <w:t>Закон</w:t>
            </w:r>
            <w:proofErr w:type="spellEnd"/>
            <w:r w:rsidRPr="008F0CED">
              <w:rPr>
                <w:rFonts w:ascii="Times New Roman" w:hAnsi="Times New Roman" w:cs="Times New Roman"/>
                <w:sz w:val="20"/>
                <w:szCs w:val="20"/>
                <w:lang w:val="en-GB" w:eastAsia="en-GB"/>
              </w:rPr>
              <w:t xml:space="preserve"> о </w:t>
            </w:r>
            <w:proofErr w:type="spellStart"/>
            <w:r w:rsidRPr="008F0CED">
              <w:rPr>
                <w:rFonts w:ascii="Times New Roman" w:hAnsi="Times New Roman" w:cs="Times New Roman"/>
                <w:sz w:val="20"/>
                <w:szCs w:val="20"/>
                <w:lang w:val="en-GB" w:eastAsia="en-GB"/>
              </w:rPr>
              <w:t>електронској</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управи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није</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складу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цитираним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чланом</w:t>
            </w:r>
            <w:proofErr w:type="spellEnd"/>
            <w:r w:rsidRPr="008F0CED">
              <w:rPr>
                <w:rFonts w:ascii="Times New Roman" w:hAnsi="Times New Roman" w:cs="Times New Roman"/>
                <w:sz w:val="20"/>
                <w:szCs w:val="20"/>
                <w:lang w:val="en-GB" w:eastAsia="en-GB"/>
              </w:rPr>
              <w:t>/</w:t>
            </w:r>
            <w:proofErr w:type="spellStart"/>
            <w:r w:rsidRPr="008F0CED">
              <w:rPr>
                <w:rFonts w:ascii="Times New Roman" w:hAnsi="Times New Roman" w:cs="Times New Roman"/>
                <w:sz w:val="20"/>
                <w:szCs w:val="20"/>
                <w:lang w:val="en-GB" w:eastAsia="en-GB"/>
              </w:rPr>
              <w:t>ставом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тачком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садржи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такву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обавезу</w:t>
            </w:r>
            <w:proofErr w:type="spellEnd"/>
            <w:r w:rsidRPr="008F0CED">
              <w:rPr>
                <w:rFonts w:ascii="Times New Roman" w:hAnsi="Times New Roman" w:cs="Times New Roman"/>
                <w:sz w:val="20"/>
                <w:szCs w:val="20"/>
                <w:lang w:val="en-GB" w:eastAsia="en-GB"/>
              </w:rPr>
              <w:t>.</w:t>
            </w:r>
          </w:p>
        </w:tc>
        <w:tc>
          <w:tcPr>
            <w:tcW w:w="513" w:type="pct"/>
            <w:tcBorders>
              <w:top w:val="single" w:sz="4" w:space="0" w:color="auto"/>
              <w:left w:val="single" w:sz="4" w:space="0" w:color="auto"/>
              <w:bottom w:val="single" w:sz="4" w:space="0" w:color="auto"/>
              <w:right w:val="single" w:sz="4" w:space="0" w:color="auto"/>
            </w:tcBorders>
          </w:tcPr>
          <w:p w14:paraId="21A6869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Овлашћење ЕУ Комисије.</w:t>
            </w:r>
          </w:p>
        </w:tc>
        <w:tc>
          <w:tcPr>
            <w:tcW w:w="535" w:type="pct"/>
            <w:tcBorders>
              <w:top w:val="single" w:sz="4" w:space="0" w:color="auto"/>
              <w:left w:val="single" w:sz="4" w:space="0" w:color="auto"/>
              <w:bottom w:val="single" w:sz="4" w:space="0" w:color="auto"/>
              <w:right w:val="single" w:sz="4" w:space="0" w:color="auto"/>
            </w:tcBorders>
          </w:tcPr>
          <w:p w14:paraId="0C87289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0CB1D664"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B527B4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14.1.</w:t>
            </w:r>
          </w:p>
        </w:tc>
        <w:tc>
          <w:tcPr>
            <w:tcW w:w="945" w:type="pct"/>
            <w:tcBorders>
              <w:top w:val="single" w:sz="4" w:space="0" w:color="auto"/>
              <w:left w:val="single" w:sz="4" w:space="0" w:color="auto"/>
              <w:bottom w:val="single" w:sz="4" w:space="0" w:color="auto"/>
              <w:right w:val="single" w:sz="4" w:space="0" w:color="auto"/>
            </w:tcBorders>
          </w:tcPr>
          <w:p w14:paraId="464EFB86"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1.The Commission shall adopt implementing acts laying down a list of specific high-value datasets belonging to the categories set out in Annex I and held by public sector bodies and public undertakings among the documents to which this Directive applies.</w:t>
            </w:r>
          </w:p>
          <w:p w14:paraId="5F14232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Such specific high-value datasets shall be:</w:t>
            </w:r>
          </w:p>
          <w:p w14:paraId="2294DF4A"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(a) available free of charge, subject to paragraphs 3, 4 and 5;</w:t>
            </w:r>
          </w:p>
          <w:p w14:paraId="4446F119"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(b) machine readable;</w:t>
            </w:r>
          </w:p>
          <w:p w14:paraId="709C3667"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(c) provided via APIs; and</w:t>
            </w:r>
          </w:p>
          <w:p w14:paraId="33E003F5"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(d) provided as a bulk download, where relevant.</w:t>
            </w:r>
          </w:p>
          <w:p w14:paraId="34048F44"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Those implementing acts may specify the arrangements for the publication and re-use of high-value datasets. Such arrangements shall be compatible with open standard licences.</w:t>
            </w:r>
          </w:p>
          <w:p w14:paraId="2DF9059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The arrangements may include terms applicable to re-use, formats of data and metadata and technical arrangements for dissemination. Investments made by the Member States in open data approaches, such as investments into the development and roll-out of certain standards, shall be taken into account and balanced against the potential benefits from inclusion in the list. Those implementing acts shall be adopted in accordance with the examination procedure referred to in Article 16(2).</w:t>
            </w:r>
          </w:p>
        </w:tc>
        <w:tc>
          <w:tcPr>
            <w:tcW w:w="324" w:type="pct"/>
            <w:tcBorders>
              <w:top w:val="single" w:sz="4" w:space="0" w:color="auto"/>
              <w:left w:val="single" w:sz="4" w:space="0" w:color="auto"/>
              <w:bottom w:val="single" w:sz="4" w:space="0" w:color="auto"/>
              <w:right w:val="single" w:sz="4" w:space="0" w:color="auto"/>
            </w:tcBorders>
          </w:tcPr>
          <w:p w14:paraId="45572154" w14:textId="77777777" w:rsidR="008F0CED" w:rsidRPr="008F0CED" w:rsidRDefault="008F0CED" w:rsidP="008F0CED">
            <w:pPr>
              <w:tabs>
                <w:tab w:val="left" w:pos="2835"/>
              </w:tabs>
              <w:spacing w:after="0" w:line="240" w:lineRule="auto"/>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27Б. 2.</w:t>
            </w:r>
          </w:p>
        </w:tc>
        <w:tc>
          <w:tcPr>
            <w:tcW w:w="1231" w:type="pct"/>
            <w:tcBorders>
              <w:top w:val="single" w:sz="4" w:space="0" w:color="auto"/>
              <w:left w:val="single" w:sz="4" w:space="0" w:color="auto"/>
              <w:bottom w:val="single" w:sz="4" w:space="0" w:color="auto"/>
              <w:right w:val="single" w:sz="4" w:space="0" w:color="auto"/>
            </w:tcBorders>
          </w:tcPr>
          <w:p w14:paraId="3AA6805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 xml:space="preserve">СКУПОВИ ПОДАТАКА ОД </w:t>
            </w:r>
            <w:r w:rsidRPr="008F0CED">
              <w:rPr>
                <w:rFonts w:ascii="Times New Roman" w:hAnsi="Times New Roman" w:cs="Times New Roman"/>
                <w:sz w:val="20"/>
                <w:szCs w:val="20"/>
                <w:lang w:val="sr-Cyrl-RS" w:eastAsia="en-GB"/>
              </w:rPr>
              <w:t xml:space="preserve">ПОСЕБНОГ </w:t>
            </w:r>
            <w:r w:rsidRPr="008F0CED">
              <w:rPr>
                <w:rFonts w:ascii="Times New Roman" w:hAnsi="Times New Roman" w:cs="Times New Roman"/>
                <w:sz w:val="20"/>
                <w:szCs w:val="20"/>
                <w:lang w:val="en-GB" w:eastAsia="en-GB"/>
              </w:rPr>
              <w:t xml:space="preserve">ЗНАЧАЈА ЗА </w:t>
            </w:r>
            <w:r w:rsidRPr="008F0CED">
              <w:rPr>
                <w:rFonts w:ascii="Times New Roman" w:hAnsi="Times New Roman" w:cs="Times New Roman"/>
                <w:sz w:val="20"/>
                <w:szCs w:val="20"/>
                <w:lang w:val="sr-Cyrl-RS" w:eastAsia="en-GB"/>
              </w:rPr>
              <w:t>П</w:t>
            </w:r>
            <w:r w:rsidRPr="008F0CED">
              <w:rPr>
                <w:rFonts w:ascii="Times New Roman" w:hAnsi="Times New Roman" w:cs="Times New Roman"/>
                <w:sz w:val="20"/>
                <w:szCs w:val="20"/>
                <w:lang w:val="en-GB" w:eastAsia="en-GB"/>
              </w:rPr>
              <w:t>О</w:t>
            </w:r>
            <w:r w:rsidRPr="008F0CED">
              <w:rPr>
                <w:rFonts w:ascii="Times New Roman" w:hAnsi="Times New Roman" w:cs="Times New Roman"/>
                <w:sz w:val="20"/>
                <w:szCs w:val="20"/>
                <w:lang w:val="sr-Cyrl-RS" w:eastAsia="en-GB"/>
              </w:rPr>
              <w:t>НОВНУ УПОТРЕБУ</w:t>
            </w:r>
            <w:r w:rsidRPr="008F0CED">
              <w:rPr>
                <w:rFonts w:ascii="Times New Roman" w:hAnsi="Times New Roman" w:cs="Times New Roman"/>
                <w:sz w:val="20"/>
                <w:szCs w:val="20"/>
                <w:lang w:val="en-GB" w:eastAsia="en-GB"/>
              </w:rPr>
              <w:t xml:space="preserve"> ДОСТУПНИ СУ:</w:t>
            </w:r>
          </w:p>
          <w:p w14:paraId="20954D0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 БЕЗ НАКНАДЕ;</w:t>
            </w:r>
          </w:p>
          <w:p w14:paraId="1AB83EAA"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 У МАШИНСКИ ЧИТЉИВОМ ОБЛИКУ;</w:t>
            </w:r>
          </w:p>
          <w:p w14:paraId="2948B9A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3) ПУТЕМ ВЕБ СЕРВИСА;</w:t>
            </w:r>
          </w:p>
          <w:p w14:paraId="66080B5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 ЗА МАСОВНО ПРЕУЗИМАЊЕ</w:t>
            </w:r>
            <w:r w:rsidRPr="008F0CED">
              <w:rPr>
                <w:rFonts w:ascii="Times New Roman" w:hAnsi="Times New Roman" w:cs="Times New Roman"/>
                <w:sz w:val="20"/>
                <w:szCs w:val="20"/>
                <w:lang w:val="sr-Cyrl-RS" w:eastAsia="en-GB"/>
              </w:rPr>
              <w:t>, КАДА ЈЕ ПРИМЕНЉИВО</w:t>
            </w:r>
            <w:r w:rsidRPr="008F0CED">
              <w:rPr>
                <w:rFonts w:ascii="Times New Roman" w:hAnsi="Times New Roman" w:cs="Times New Roman"/>
                <w:sz w:val="20"/>
                <w:szCs w:val="20"/>
                <w:lang w:val="en-GB" w:eastAsia="en-GB"/>
              </w:rPr>
              <w:t>.</w:t>
            </w:r>
          </w:p>
        </w:tc>
        <w:tc>
          <w:tcPr>
            <w:tcW w:w="442" w:type="pct"/>
            <w:tcBorders>
              <w:top w:val="single" w:sz="4" w:space="0" w:color="auto"/>
              <w:left w:val="single" w:sz="4" w:space="0" w:color="auto"/>
              <w:bottom w:val="single" w:sz="4" w:space="0" w:color="auto"/>
              <w:right w:val="single" w:sz="4" w:space="0" w:color="auto"/>
            </w:tcBorders>
          </w:tcPr>
          <w:p w14:paraId="5DA8259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16B68D3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13" w:type="pct"/>
            <w:tcBorders>
              <w:top w:val="single" w:sz="4" w:space="0" w:color="auto"/>
              <w:left w:val="single" w:sz="4" w:space="0" w:color="auto"/>
              <w:bottom w:val="single" w:sz="4" w:space="0" w:color="auto"/>
              <w:right w:val="single" w:sz="4" w:space="0" w:color="auto"/>
            </w:tcBorders>
          </w:tcPr>
          <w:p w14:paraId="7454206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5A6C6D8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00AF60B1"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D7A7CB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14.2.</w:t>
            </w:r>
          </w:p>
        </w:tc>
        <w:tc>
          <w:tcPr>
            <w:tcW w:w="945" w:type="pct"/>
            <w:tcBorders>
              <w:top w:val="single" w:sz="4" w:space="0" w:color="auto"/>
              <w:left w:val="single" w:sz="4" w:space="0" w:color="auto"/>
              <w:bottom w:val="single" w:sz="4" w:space="0" w:color="auto"/>
              <w:right w:val="single" w:sz="4" w:space="0" w:color="auto"/>
            </w:tcBorders>
          </w:tcPr>
          <w:p w14:paraId="7F0F4FC5"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2.The identification of specific high-value datasets pursuant to paragraph 1 shall be based on the assessment of their potential to:</w:t>
            </w:r>
          </w:p>
          <w:p w14:paraId="097429D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(a) generate significant socioeconomic or environmental benefits and innovative services; (b) benefit a high number of users, in particular SMEs;</w:t>
            </w:r>
          </w:p>
          <w:p w14:paraId="4876A8F9"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(c) assist in generating revenues; and</w:t>
            </w:r>
          </w:p>
          <w:p w14:paraId="0B3D4050"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(d) be combined with other datasets.</w:t>
            </w:r>
          </w:p>
          <w:p w14:paraId="47D8E719"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For the purpose of identifying such specific high-value datasets, the Commission shall carry out appropriate consultations, including at expert level, conduct an impact assessment and ensure complementarity with existing legal acts, such as Directive 2010/40/EU, with respect to the re-use of documents. That impact assessment shall include a cost-benefit analysis and an analysis of whether providing high-value datasets free of charge by public sector bodies that are required to generate revenue to cover a substantial part of their costs relating to the performance of their public tasks would lead to a substantial impact on the budget of such bodies. With regard to high-value datasets held by public undertakings, the impact assessment shall give special consideration to the role of public undertakings in a competitive economic environment.</w:t>
            </w:r>
          </w:p>
        </w:tc>
        <w:tc>
          <w:tcPr>
            <w:tcW w:w="324" w:type="pct"/>
            <w:tcBorders>
              <w:top w:val="single" w:sz="4" w:space="0" w:color="auto"/>
              <w:left w:val="single" w:sz="4" w:space="0" w:color="auto"/>
              <w:bottom w:val="single" w:sz="4" w:space="0" w:color="auto"/>
              <w:right w:val="single" w:sz="4" w:space="0" w:color="auto"/>
            </w:tcBorders>
          </w:tcPr>
          <w:p w14:paraId="67268019"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4B0D2D00" w14:textId="77777777" w:rsidR="008F0CED" w:rsidRPr="008F0CED" w:rsidRDefault="008F0CED" w:rsidP="008F0CED">
            <w:pPr>
              <w:tabs>
                <w:tab w:val="left" w:pos="2835"/>
              </w:tabs>
              <w:spacing w:after="0" w:line="240" w:lineRule="auto"/>
              <w:jc w:val="both"/>
              <w:rPr>
                <w:rFonts w:ascii="Calibri" w:hAnsi="Calibri" w:cs="Calibri"/>
                <w:lang w:val="sr-Cyrl-RS" w:eastAsia="en-GB"/>
              </w:rPr>
            </w:pPr>
            <w:r w:rsidRPr="008F0CED">
              <w:rPr>
                <w:rFonts w:ascii="Times New Roman" w:hAnsi="Times New Roman" w:cs="Times New Roman"/>
                <w:sz w:val="20"/>
                <w:szCs w:val="20"/>
                <w:lang w:val="en-GB" w:eastAsia="en-GB"/>
              </w:rPr>
              <w:t>4.3</w:t>
            </w:r>
            <w:r w:rsidRPr="008F0CED">
              <w:rPr>
                <w:rFonts w:ascii="Times New Roman" w:hAnsi="Times New Roman" w:cs="Times New Roman"/>
                <w:sz w:val="20"/>
                <w:szCs w:val="20"/>
                <w:lang w:val="sr-Cyrl-RS" w:eastAsia="en-GB"/>
              </w:rPr>
              <w:t>8)</w:t>
            </w:r>
          </w:p>
        </w:tc>
        <w:tc>
          <w:tcPr>
            <w:tcW w:w="1231" w:type="pct"/>
            <w:tcBorders>
              <w:top w:val="single" w:sz="4" w:space="0" w:color="auto"/>
              <w:left w:val="single" w:sz="4" w:space="0" w:color="auto"/>
              <w:bottom w:val="single" w:sz="4" w:space="0" w:color="auto"/>
              <w:right w:val="single" w:sz="4" w:space="0" w:color="auto"/>
            </w:tcBorders>
          </w:tcPr>
          <w:p w14:paraId="538444BF"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С</w:t>
            </w:r>
            <w:r w:rsidRPr="008F0CED">
              <w:rPr>
                <w:rFonts w:ascii="Times New Roman" w:hAnsi="Times New Roman" w:cs="Times New Roman"/>
                <w:sz w:val="20"/>
                <w:szCs w:val="20"/>
                <w:lang w:val="en-GB" w:eastAsia="en-GB"/>
              </w:rPr>
              <w:t>КУПОВИ ПОДАТАКА</w:t>
            </w:r>
            <w:r w:rsidRPr="008F0CED">
              <w:rPr>
                <w:rFonts w:ascii="Times New Roman" w:hAnsi="Times New Roman" w:cs="Times New Roman"/>
                <w:sz w:val="20"/>
                <w:szCs w:val="20"/>
                <w:lang w:val="sr-Cyrl-RS" w:eastAsia="en-GB"/>
              </w:rPr>
              <w:t xml:space="preserve"> ОД ПОСЕБНОГ ЗНАЧАЈА ЗА ПОНОВНУ УПОТРЕБУ СУ ГЕОПРОСТОРНИ, МЕТЕОРОЛОШКИ, СТАТИСТИЧКИ ПОДАЦИ, КАО И ПОДАЦИ О ЗАШТИТИ ЖИВОТНЕ СРЕДИНЕ, ПРИВРЕДНИМ ДРУШТВИМА И МОБИЛНОСТИ, КАО И ДРУГИ ПОДАЦИ ЧИЈА ПОНОВНА УПОТРЕБА ДОНОСИ ДОДАТНУ КОРИСТ ДРУШТВУ.</w:t>
            </w:r>
          </w:p>
        </w:tc>
        <w:tc>
          <w:tcPr>
            <w:tcW w:w="442" w:type="pct"/>
            <w:tcBorders>
              <w:top w:val="single" w:sz="4" w:space="0" w:color="auto"/>
              <w:left w:val="single" w:sz="4" w:space="0" w:color="auto"/>
              <w:bottom w:val="single" w:sz="4" w:space="0" w:color="auto"/>
              <w:right w:val="single" w:sz="4" w:space="0" w:color="auto"/>
            </w:tcBorders>
          </w:tcPr>
          <w:p w14:paraId="144E34DF"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ПУ</w:t>
            </w:r>
          </w:p>
        </w:tc>
        <w:tc>
          <w:tcPr>
            <w:tcW w:w="599" w:type="pct"/>
            <w:gridSpan w:val="2"/>
            <w:tcBorders>
              <w:top w:val="single" w:sz="4" w:space="0" w:color="auto"/>
              <w:left w:val="single" w:sz="4" w:space="0" w:color="auto"/>
              <w:bottom w:val="single" w:sz="4" w:space="0" w:color="auto"/>
              <w:right w:val="single" w:sz="4" w:space="0" w:color="auto"/>
            </w:tcBorders>
          </w:tcPr>
          <w:p w14:paraId="174F0E8E"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Овлашћење ЕУ Комисије.</w:t>
            </w:r>
          </w:p>
        </w:tc>
        <w:tc>
          <w:tcPr>
            <w:tcW w:w="513" w:type="pct"/>
            <w:tcBorders>
              <w:top w:val="single" w:sz="4" w:space="0" w:color="auto"/>
              <w:left w:val="single" w:sz="4" w:space="0" w:color="auto"/>
              <w:bottom w:val="single" w:sz="4" w:space="0" w:color="auto"/>
              <w:right w:val="single" w:sz="4" w:space="0" w:color="auto"/>
            </w:tcBorders>
          </w:tcPr>
          <w:p w14:paraId="4EEE1243"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p>
        </w:tc>
        <w:tc>
          <w:tcPr>
            <w:tcW w:w="535" w:type="pct"/>
            <w:tcBorders>
              <w:top w:val="single" w:sz="4" w:space="0" w:color="auto"/>
              <w:left w:val="single" w:sz="4" w:space="0" w:color="auto"/>
              <w:bottom w:val="single" w:sz="4" w:space="0" w:color="auto"/>
              <w:right w:val="single" w:sz="4" w:space="0" w:color="auto"/>
            </w:tcBorders>
          </w:tcPr>
          <w:p w14:paraId="1E3F626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780A556D"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631D142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14.3.</w:t>
            </w:r>
          </w:p>
        </w:tc>
        <w:tc>
          <w:tcPr>
            <w:tcW w:w="945" w:type="pct"/>
            <w:tcBorders>
              <w:top w:val="single" w:sz="4" w:space="0" w:color="auto"/>
              <w:left w:val="single" w:sz="4" w:space="0" w:color="auto"/>
              <w:bottom w:val="single" w:sz="4" w:space="0" w:color="auto"/>
              <w:right w:val="single" w:sz="4" w:space="0" w:color="auto"/>
            </w:tcBorders>
          </w:tcPr>
          <w:p w14:paraId="6D9B22AA"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3.By way of derogation from point (a) of the second subparagraph of paragraph 1, the implementing acts referred to in paragraph 1 shall provide that the availability of high-value datasets free of charge is not to apply to specific high- value datasets held by public undertakings where that would lead to a distortion of competition in the relevant markets.</w:t>
            </w:r>
          </w:p>
        </w:tc>
        <w:tc>
          <w:tcPr>
            <w:tcW w:w="324" w:type="pct"/>
            <w:tcBorders>
              <w:top w:val="single" w:sz="4" w:space="0" w:color="auto"/>
              <w:left w:val="single" w:sz="4" w:space="0" w:color="auto"/>
              <w:bottom w:val="single" w:sz="4" w:space="0" w:color="auto"/>
              <w:right w:val="single" w:sz="4" w:space="0" w:color="auto"/>
            </w:tcBorders>
          </w:tcPr>
          <w:p w14:paraId="738DBAC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1F43819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7BCE7BB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НП</w:t>
            </w:r>
          </w:p>
        </w:tc>
        <w:tc>
          <w:tcPr>
            <w:tcW w:w="599" w:type="pct"/>
            <w:gridSpan w:val="2"/>
            <w:tcBorders>
              <w:top w:val="single" w:sz="4" w:space="0" w:color="auto"/>
              <w:left w:val="single" w:sz="4" w:space="0" w:color="auto"/>
              <w:bottom w:val="single" w:sz="4" w:space="0" w:color="auto"/>
              <w:right w:val="single" w:sz="4" w:space="0" w:color="auto"/>
            </w:tcBorders>
          </w:tcPr>
          <w:p w14:paraId="3B6C950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roofErr w:type="spellStart"/>
            <w:r w:rsidRPr="008F0CED">
              <w:rPr>
                <w:rFonts w:ascii="Times New Roman" w:hAnsi="Times New Roman" w:cs="Times New Roman"/>
                <w:sz w:val="20"/>
                <w:szCs w:val="20"/>
                <w:lang w:val="en-GB" w:eastAsia="en-GB"/>
              </w:rPr>
              <w:t>Закон</w:t>
            </w:r>
            <w:proofErr w:type="spellEnd"/>
            <w:r w:rsidRPr="008F0CED">
              <w:rPr>
                <w:rFonts w:ascii="Times New Roman" w:hAnsi="Times New Roman" w:cs="Times New Roman"/>
                <w:sz w:val="20"/>
                <w:szCs w:val="20"/>
                <w:lang w:val="en-GB" w:eastAsia="en-GB"/>
              </w:rPr>
              <w:t xml:space="preserve"> о </w:t>
            </w:r>
            <w:proofErr w:type="spellStart"/>
            <w:r w:rsidRPr="008F0CED">
              <w:rPr>
                <w:rFonts w:ascii="Times New Roman" w:hAnsi="Times New Roman" w:cs="Times New Roman"/>
                <w:sz w:val="20"/>
                <w:szCs w:val="20"/>
                <w:lang w:val="en-GB" w:eastAsia="en-GB"/>
              </w:rPr>
              <w:t>електронској</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управи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није</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складу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цитираним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чланом</w:t>
            </w:r>
            <w:proofErr w:type="spellEnd"/>
            <w:r w:rsidRPr="008F0CED">
              <w:rPr>
                <w:rFonts w:ascii="Times New Roman" w:hAnsi="Times New Roman" w:cs="Times New Roman"/>
                <w:sz w:val="20"/>
                <w:szCs w:val="20"/>
                <w:lang w:val="en-GB" w:eastAsia="en-GB"/>
              </w:rPr>
              <w:t>/</w:t>
            </w:r>
            <w:proofErr w:type="spellStart"/>
            <w:r w:rsidRPr="008F0CED">
              <w:rPr>
                <w:rFonts w:ascii="Times New Roman" w:hAnsi="Times New Roman" w:cs="Times New Roman"/>
                <w:sz w:val="20"/>
                <w:szCs w:val="20"/>
                <w:lang w:val="en-GB" w:eastAsia="en-GB"/>
              </w:rPr>
              <w:t>ставом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тачком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садржи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такву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обавезу</w:t>
            </w:r>
            <w:proofErr w:type="spellEnd"/>
            <w:r w:rsidRPr="008F0CED">
              <w:rPr>
                <w:rFonts w:ascii="Times New Roman" w:hAnsi="Times New Roman" w:cs="Times New Roman"/>
                <w:sz w:val="20"/>
                <w:szCs w:val="20"/>
                <w:lang w:val="en-GB" w:eastAsia="en-GB"/>
              </w:rPr>
              <w:t>.</w:t>
            </w:r>
          </w:p>
        </w:tc>
        <w:tc>
          <w:tcPr>
            <w:tcW w:w="513" w:type="pct"/>
            <w:tcBorders>
              <w:top w:val="single" w:sz="4" w:space="0" w:color="auto"/>
              <w:left w:val="single" w:sz="4" w:space="0" w:color="auto"/>
              <w:bottom w:val="single" w:sz="4" w:space="0" w:color="auto"/>
              <w:right w:val="single" w:sz="4" w:space="0" w:color="auto"/>
            </w:tcBorders>
          </w:tcPr>
          <w:p w14:paraId="4F9E62C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Приликом приступања Републике Србије Европској унији</w:t>
            </w:r>
          </w:p>
        </w:tc>
        <w:tc>
          <w:tcPr>
            <w:tcW w:w="535" w:type="pct"/>
            <w:tcBorders>
              <w:top w:val="single" w:sz="4" w:space="0" w:color="auto"/>
              <w:left w:val="single" w:sz="4" w:space="0" w:color="auto"/>
              <w:bottom w:val="single" w:sz="4" w:space="0" w:color="auto"/>
              <w:right w:val="single" w:sz="4" w:space="0" w:color="auto"/>
            </w:tcBorders>
          </w:tcPr>
          <w:p w14:paraId="0A40EE8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197491A9"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3F7C27E4"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14.4.</w:t>
            </w:r>
          </w:p>
        </w:tc>
        <w:tc>
          <w:tcPr>
            <w:tcW w:w="945" w:type="pct"/>
            <w:tcBorders>
              <w:top w:val="single" w:sz="4" w:space="0" w:color="auto"/>
              <w:left w:val="single" w:sz="4" w:space="0" w:color="auto"/>
              <w:bottom w:val="single" w:sz="4" w:space="0" w:color="auto"/>
              <w:right w:val="single" w:sz="4" w:space="0" w:color="auto"/>
            </w:tcBorders>
          </w:tcPr>
          <w:p w14:paraId="191321E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4.The requirement to make high-value datasets available free of charge pursuant to point (a) of the second subparagraph of paragraph 1 shall not apply to libraries, including university libraries, museums and archives.</w:t>
            </w:r>
          </w:p>
        </w:tc>
        <w:tc>
          <w:tcPr>
            <w:tcW w:w="324" w:type="pct"/>
            <w:tcBorders>
              <w:top w:val="single" w:sz="4" w:space="0" w:color="auto"/>
              <w:left w:val="single" w:sz="4" w:space="0" w:color="auto"/>
              <w:bottom w:val="single" w:sz="4" w:space="0" w:color="auto"/>
              <w:right w:val="single" w:sz="4" w:space="0" w:color="auto"/>
            </w:tcBorders>
          </w:tcPr>
          <w:p w14:paraId="0E079C98"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550F1D41"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3FE21CA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НП</w:t>
            </w:r>
          </w:p>
        </w:tc>
        <w:tc>
          <w:tcPr>
            <w:tcW w:w="599" w:type="pct"/>
            <w:gridSpan w:val="2"/>
            <w:tcBorders>
              <w:top w:val="single" w:sz="4" w:space="0" w:color="auto"/>
              <w:left w:val="single" w:sz="4" w:space="0" w:color="auto"/>
              <w:bottom w:val="single" w:sz="4" w:space="0" w:color="auto"/>
              <w:right w:val="single" w:sz="4" w:space="0" w:color="auto"/>
            </w:tcBorders>
          </w:tcPr>
          <w:p w14:paraId="60713A68"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roofErr w:type="spellStart"/>
            <w:r w:rsidRPr="008F0CED">
              <w:rPr>
                <w:rFonts w:ascii="Times New Roman" w:hAnsi="Times New Roman" w:cs="Times New Roman"/>
                <w:sz w:val="20"/>
                <w:szCs w:val="20"/>
                <w:lang w:val="en-GB" w:eastAsia="en-GB"/>
              </w:rPr>
              <w:t>Закон</w:t>
            </w:r>
            <w:proofErr w:type="spellEnd"/>
            <w:r w:rsidRPr="008F0CED">
              <w:rPr>
                <w:rFonts w:ascii="Times New Roman" w:hAnsi="Times New Roman" w:cs="Times New Roman"/>
                <w:sz w:val="20"/>
                <w:szCs w:val="20"/>
                <w:lang w:val="en-GB" w:eastAsia="en-GB"/>
              </w:rPr>
              <w:t xml:space="preserve"> о </w:t>
            </w:r>
            <w:proofErr w:type="spellStart"/>
            <w:r w:rsidRPr="008F0CED">
              <w:rPr>
                <w:rFonts w:ascii="Times New Roman" w:hAnsi="Times New Roman" w:cs="Times New Roman"/>
                <w:sz w:val="20"/>
                <w:szCs w:val="20"/>
                <w:lang w:val="en-GB" w:eastAsia="en-GB"/>
              </w:rPr>
              <w:t>електронској</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управи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није</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складу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цитираним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чланом</w:t>
            </w:r>
            <w:proofErr w:type="spellEnd"/>
            <w:r w:rsidRPr="008F0CED">
              <w:rPr>
                <w:rFonts w:ascii="Times New Roman" w:hAnsi="Times New Roman" w:cs="Times New Roman"/>
                <w:sz w:val="20"/>
                <w:szCs w:val="20"/>
                <w:lang w:val="en-GB" w:eastAsia="en-GB"/>
              </w:rPr>
              <w:t>/</w:t>
            </w:r>
            <w:proofErr w:type="spellStart"/>
            <w:r w:rsidRPr="008F0CED">
              <w:rPr>
                <w:rFonts w:ascii="Times New Roman" w:hAnsi="Times New Roman" w:cs="Times New Roman"/>
                <w:sz w:val="20"/>
                <w:szCs w:val="20"/>
                <w:lang w:val="en-GB" w:eastAsia="en-GB"/>
              </w:rPr>
              <w:t>ставом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тачком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садржи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такву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обавезу</w:t>
            </w:r>
            <w:proofErr w:type="spellEnd"/>
            <w:r w:rsidRPr="008F0CED">
              <w:rPr>
                <w:rFonts w:ascii="Times New Roman" w:hAnsi="Times New Roman" w:cs="Times New Roman"/>
                <w:sz w:val="20"/>
                <w:szCs w:val="20"/>
                <w:lang w:val="en-GB" w:eastAsia="en-GB"/>
              </w:rPr>
              <w:t>.</w:t>
            </w:r>
          </w:p>
        </w:tc>
        <w:tc>
          <w:tcPr>
            <w:tcW w:w="513" w:type="pct"/>
            <w:tcBorders>
              <w:top w:val="single" w:sz="4" w:space="0" w:color="auto"/>
              <w:left w:val="single" w:sz="4" w:space="0" w:color="auto"/>
              <w:bottom w:val="single" w:sz="4" w:space="0" w:color="auto"/>
              <w:right w:val="single" w:sz="4" w:space="0" w:color="auto"/>
            </w:tcBorders>
          </w:tcPr>
          <w:p w14:paraId="72DA938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Приликом приступања Републике Србије Европској унији</w:t>
            </w:r>
          </w:p>
        </w:tc>
        <w:tc>
          <w:tcPr>
            <w:tcW w:w="535" w:type="pct"/>
            <w:tcBorders>
              <w:top w:val="single" w:sz="4" w:space="0" w:color="auto"/>
              <w:left w:val="single" w:sz="4" w:space="0" w:color="auto"/>
              <w:bottom w:val="single" w:sz="4" w:space="0" w:color="auto"/>
              <w:right w:val="single" w:sz="4" w:space="0" w:color="auto"/>
            </w:tcBorders>
          </w:tcPr>
          <w:p w14:paraId="465A8386"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79D8E3B5"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2804BC0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14.5.</w:t>
            </w:r>
          </w:p>
        </w:tc>
        <w:tc>
          <w:tcPr>
            <w:tcW w:w="945" w:type="pct"/>
            <w:tcBorders>
              <w:top w:val="single" w:sz="4" w:space="0" w:color="auto"/>
              <w:left w:val="single" w:sz="4" w:space="0" w:color="auto"/>
              <w:bottom w:val="single" w:sz="4" w:space="0" w:color="auto"/>
              <w:right w:val="single" w:sz="4" w:space="0" w:color="auto"/>
            </w:tcBorders>
          </w:tcPr>
          <w:p w14:paraId="58AE9596"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5.Where making high-value datasets available free of charge by public sector bodies that are required to generate revenue to cover a substantial part of their costs relating to the performance of their public tasks would lead to a substantial impact on the budget of the bodies involved, Member States may exempt those bodies from the requirement to make those high-value datasets available free of charge for a period of no more than two years following the entry into force of the relevant implementing act adopted in accordance with paragraph 1.</w:t>
            </w:r>
          </w:p>
        </w:tc>
        <w:tc>
          <w:tcPr>
            <w:tcW w:w="324" w:type="pct"/>
            <w:tcBorders>
              <w:top w:val="single" w:sz="4" w:space="0" w:color="auto"/>
              <w:left w:val="single" w:sz="4" w:space="0" w:color="auto"/>
              <w:bottom w:val="single" w:sz="4" w:space="0" w:color="auto"/>
              <w:right w:val="single" w:sz="4" w:space="0" w:color="auto"/>
            </w:tcBorders>
          </w:tcPr>
          <w:p w14:paraId="3CAD800C"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67161D0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566593FA"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НП</w:t>
            </w:r>
          </w:p>
        </w:tc>
        <w:tc>
          <w:tcPr>
            <w:tcW w:w="599" w:type="pct"/>
            <w:gridSpan w:val="2"/>
            <w:tcBorders>
              <w:top w:val="single" w:sz="4" w:space="0" w:color="auto"/>
              <w:left w:val="single" w:sz="4" w:space="0" w:color="auto"/>
              <w:bottom w:val="single" w:sz="4" w:space="0" w:color="auto"/>
              <w:right w:val="single" w:sz="4" w:space="0" w:color="auto"/>
            </w:tcBorders>
          </w:tcPr>
          <w:p w14:paraId="11EABB4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roofErr w:type="spellStart"/>
            <w:r w:rsidRPr="008F0CED">
              <w:rPr>
                <w:rFonts w:ascii="Times New Roman" w:hAnsi="Times New Roman" w:cs="Times New Roman"/>
                <w:sz w:val="20"/>
                <w:szCs w:val="20"/>
                <w:lang w:val="en-GB" w:eastAsia="en-GB"/>
              </w:rPr>
              <w:t>Закон</w:t>
            </w:r>
            <w:proofErr w:type="spellEnd"/>
            <w:r w:rsidRPr="008F0CED">
              <w:rPr>
                <w:rFonts w:ascii="Times New Roman" w:hAnsi="Times New Roman" w:cs="Times New Roman"/>
                <w:sz w:val="20"/>
                <w:szCs w:val="20"/>
                <w:lang w:val="en-GB" w:eastAsia="en-GB"/>
              </w:rPr>
              <w:t xml:space="preserve"> о </w:t>
            </w:r>
            <w:proofErr w:type="spellStart"/>
            <w:r w:rsidRPr="008F0CED">
              <w:rPr>
                <w:rFonts w:ascii="Times New Roman" w:hAnsi="Times New Roman" w:cs="Times New Roman"/>
                <w:sz w:val="20"/>
                <w:szCs w:val="20"/>
                <w:lang w:val="en-GB" w:eastAsia="en-GB"/>
              </w:rPr>
              <w:t>електронској</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управи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није</w:t>
            </w:r>
            <w:proofErr w:type="spellEnd"/>
            <w:r w:rsidRPr="008F0CED">
              <w:rPr>
                <w:rFonts w:ascii="Times New Roman" w:hAnsi="Times New Roman" w:cs="Times New Roman"/>
                <w:sz w:val="20"/>
                <w:szCs w:val="20"/>
                <w:lang w:val="en-GB" w:eastAsia="en-GB"/>
              </w:rPr>
              <w:t xml:space="preserve"> у </w:t>
            </w:r>
            <w:proofErr w:type="spellStart"/>
            <w:r w:rsidRPr="008F0CED">
              <w:rPr>
                <w:rFonts w:ascii="Times New Roman" w:hAnsi="Times New Roman" w:cs="Times New Roman"/>
                <w:sz w:val="20"/>
                <w:szCs w:val="20"/>
                <w:lang w:val="en-GB" w:eastAsia="en-GB"/>
              </w:rPr>
              <w:t>складу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са</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цитираним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чланом</w:t>
            </w:r>
            <w:proofErr w:type="spellEnd"/>
            <w:r w:rsidRPr="008F0CED">
              <w:rPr>
                <w:rFonts w:ascii="Times New Roman" w:hAnsi="Times New Roman" w:cs="Times New Roman"/>
                <w:sz w:val="20"/>
                <w:szCs w:val="20"/>
                <w:lang w:val="en-GB" w:eastAsia="en-GB"/>
              </w:rPr>
              <w:t>/</w:t>
            </w:r>
            <w:proofErr w:type="spellStart"/>
            <w:r w:rsidRPr="008F0CED">
              <w:rPr>
                <w:rFonts w:ascii="Times New Roman" w:hAnsi="Times New Roman" w:cs="Times New Roman"/>
                <w:sz w:val="20"/>
                <w:szCs w:val="20"/>
                <w:lang w:val="en-GB" w:eastAsia="en-GB"/>
              </w:rPr>
              <w:t>ставом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тачком</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Не</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садржи</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такву</w:t>
            </w:r>
            <w:proofErr w:type="spellEnd"/>
            <w:r w:rsidRPr="008F0CED">
              <w:rPr>
                <w:rFonts w:ascii="Times New Roman" w:hAnsi="Times New Roman" w:cs="Times New Roman"/>
                <w:sz w:val="20"/>
                <w:szCs w:val="20"/>
                <w:lang w:val="en-GB" w:eastAsia="en-GB"/>
              </w:rPr>
              <w:t xml:space="preserve"> </w:t>
            </w:r>
            <w:proofErr w:type="spellStart"/>
            <w:r w:rsidRPr="008F0CED">
              <w:rPr>
                <w:rFonts w:ascii="Times New Roman" w:hAnsi="Times New Roman" w:cs="Times New Roman"/>
                <w:sz w:val="20"/>
                <w:szCs w:val="20"/>
                <w:lang w:val="en-GB" w:eastAsia="en-GB"/>
              </w:rPr>
              <w:t>обавезу</w:t>
            </w:r>
            <w:proofErr w:type="spellEnd"/>
            <w:r w:rsidRPr="008F0CED">
              <w:rPr>
                <w:rFonts w:ascii="Times New Roman" w:hAnsi="Times New Roman" w:cs="Times New Roman"/>
                <w:sz w:val="20"/>
                <w:szCs w:val="20"/>
                <w:lang w:val="en-GB" w:eastAsia="en-GB"/>
              </w:rPr>
              <w:t>.</w:t>
            </w:r>
          </w:p>
        </w:tc>
        <w:tc>
          <w:tcPr>
            <w:tcW w:w="513" w:type="pct"/>
            <w:tcBorders>
              <w:top w:val="single" w:sz="4" w:space="0" w:color="auto"/>
              <w:left w:val="single" w:sz="4" w:space="0" w:color="auto"/>
              <w:bottom w:val="single" w:sz="4" w:space="0" w:color="auto"/>
              <w:right w:val="single" w:sz="4" w:space="0" w:color="auto"/>
            </w:tcBorders>
          </w:tcPr>
          <w:p w14:paraId="751E99D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sr-Cyrl-RS" w:eastAsia="en-GB"/>
              </w:rPr>
              <w:t>Приликом приступања Републике Србије Европској унији</w:t>
            </w:r>
          </w:p>
        </w:tc>
        <w:tc>
          <w:tcPr>
            <w:tcW w:w="535" w:type="pct"/>
            <w:tcBorders>
              <w:top w:val="single" w:sz="4" w:space="0" w:color="auto"/>
              <w:left w:val="single" w:sz="4" w:space="0" w:color="auto"/>
              <w:bottom w:val="single" w:sz="4" w:space="0" w:color="auto"/>
              <w:right w:val="single" w:sz="4" w:space="0" w:color="auto"/>
            </w:tcBorders>
          </w:tcPr>
          <w:p w14:paraId="32016051"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r w:rsidR="008F0CED" w:rsidRPr="008F0CED" w14:paraId="15256FC5" w14:textId="77777777" w:rsidTr="002161DA">
        <w:trPr>
          <w:gridAfter w:val="1"/>
          <w:wAfter w:w="9" w:type="pct"/>
          <w:jc w:val="center"/>
        </w:trPr>
        <w:tc>
          <w:tcPr>
            <w:tcW w:w="402" w:type="pct"/>
            <w:tcBorders>
              <w:top w:val="single" w:sz="4" w:space="0" w:color="auto"/>
              <w:left w:val="single" w:sz="4" w:space="0" w:color="auto"/>
              <w:bottom w:val="single" w:sz="4" w:space="0" w:color="auto"/>
              <w:right w:val="single" w:sz="4" w:space="0" w:color="auto"/>
            </w:tcBorders>
          </w:tcPr>
          <w:p w14:paraId="10A48042"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r w:rsidRPr="008F0CED">
              <w:rPr>
                <w:rFonts w:ascii="Times New Roman" w:hAnsi="Times New Roman" w:cs="Times New Roman"/>
                <w:sz w:val="20"/>
                <w:szCs w:val="20"/>
                <w:lang w:val="en-GB" w:eastAsia="en-GB"/>
              </w:rPr>
              <w:t>15. – 21.</w:t>
            </w:r>
          </w:p>
        </w:tc>
        <w:tc>
          <w:tcPr>
            <w:tcW w:w="945" w:type="pct"/>
            <w:tcBorders>
              <w:top w:val="single" w:sz="4" w:space="0" w:color="auto"/>
              <w:left w:val="single" w:sz="4" w:space="0" w:color="auto"/>
              <w:bottom w:val="single" w:sz="4" w:space="0" w:color="auto"/>
              <w:right w:val="single" w:sz="4" w:space="0" w:color="auto"/>
            </w:tcBorders>
          </w:tcPr>
          <w:p w14:paraId="11D90DDD"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324" w:type="pct"/>
            <w:tcBorders>
              <w:top w:val="single" w:sz="4" w:space="0" w:color="auto"/>
              <w:left w:val="single" w:sz="4" w:space="0" w:color="auto"/>
              <w:bottom w:val="single" w:sz="4" w:space="0" w:color="auto"/>
              <w:right w:val="single" w:sz="4" w:space="0" w:color="auto"/>
            </w:tcBorders>
          </w:tcPr>
          <w:p w14:paraId="4EF59F5E"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1231" w:type="pct"/>
            <w:tcBorders>
              <w:top w:val="single" w:sz="4" w:space="0" w:color="auto"/>
              <w:left w:val="single" w:sz="4" w:space="0" w:color="auto"/>
              <w:bottom w:val="single" w:sz="4" w:space="0" w:color="auto"/>
              <w:right w:val="single" w:sz="4" w:space="0" w:color="auto"/>
            </w:tcBorders>
          </w:tcPr>
          <w:p w14:paraId="3FEFA8F3"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tc>
        <w:tc>
          <w:tcPr>
            <w:tcW w:w="442" w:type="pct"/>
            <w:tcBorders>
              <w:top w:val="single" w:sz="4" w:space="0" w:color="auto"/>
              <w:left w:val="single" w:sz="4" w:space="0" w:color="auto"/>
              <w:bottom w:val="single" w:sz="4" w:space="0" w:color="auto"/>
              <w:right w:val="single" w:sz="4" w:space="0" w:color="auto"/>
            </w:tcBorders>
          </w:tcPr>
          <w:p w14:paraId="683136E9"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НП</w:t>
            </w:r>
          </w:p>
        </w:tc>
        <w:tc>
          <w:tcPr>
            <w:tcW w:w="599" w:type="pct"/>
            <w:gridSpan w:val="2"/>
            <w:tcBorders>
              <w:top w:val="single" w:sz="4" w:space="0" w:color="auto"/>
              <w:left w:val="single" w:sz="4" w:space="0" w:color="auto"/>
              <w:bottom w:val="single" w:sz="4" w:space="0" w:color="auto"/>
              <w:right w:val="single" w:sz="4" w:space="0" w:color="auto"/>
            </w:tcBorders>
          </w:tcPr>
          <w:p w14:paraId="4314712B"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sr-Cyrl-RS" w:eastAsia="en-GB"/>
              </w:rPr>
            </w:pPr>
            <w:r w:rsidRPr="008F0CED">
              <w:rPr>
                <w:rFonts w:ascii="Times New Roman" w:hAnsi="Times New Roman" w:cs="Times New Roman"/>
                <w:sz w:val="20"/>
                <w:szCs w:val="20"/>
                <w:lang w:val="sr-Cyrl-RS" w:eastAsia="en-GB"/>
              </w:rPr>
              <w:t>Није примењиво јер садржај ових чланова садржи коначне одредбе.</w:t>
            </w:r>
          </w:p>
        </w:tc>
        <w:tc>
          <w:tcPr>
            <w:tcW w:w="513" w:type="pct"/>
            <w:tcBorders>
              <w:top w:val="single" w:sz="4" w:space="0" w:color="auto"/>
              <w:left w:val="single" w:sz="4" w:space="0" w:color="auto"/>
              <w:bottom w:val="single" w:sz="4" w:space="0" w:color="auto"/>
              <w:right w:val="single" w:sz="4" w:space="0" w:color="auto"/>
            </w:tcBorders>
          </w:tcPr>
          <w:p w14:paraId="02466760"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c>
          <w:tcPr>
            <w:tcW w:w="535" w:type="pct"/>
            <w:tcBorders>
              <w:top w:val="single" w:sz="4" w:space="0" w:color="auto"/>
              <w:left w:val="single" w:sz="4" w:space="0" w:color="auto"/>
              <w:bottom w:val="single" w:sz="4" w:space="0" w:color="auto"/>
              <w:right w:val="single" w:sz="4" w:space="0" w:color="auto"/>
            </w:tcBorders>
          </w:tcPr>
          <w:p w14:paraId="61F87ECD" w14:textId="77777777" w:rsidR="008F0CED" w:rsidRPr="008F0CED" w:rsidRDefault="008F0CED" w:rsidP="008F0CED">
            <w:pPr>
              <w:tabs>
                <w:tab w:val="left" w:pos="2835"/>
              </w:tabs>
              <w:spacing w:before="120" w:after="120" w:line="240" w:lineRule="auto"/>
              <w:jc w:val="both"/>
              <w:rPr>
                <w:rFonts w:ascii="Times New Roman" w:hAnsi="Times New Roman" w:cs="Times New Roman"/>
                <w:sz w:val="20"/>
                <w:szCs w:val="20"/>
                <w:lang w:val="en-GB" w:eastAsia="en-GB"/>
              </w:rPr>
            </w:pPr>
          </w:p>
        </w:tc>
      </w:tr>
    </w:tbl>
    <w:p w14:paraId="583D9542" w14:textId="77777777" w:rsidR="008F0CED" w:rsidRPr="008F0CED" w:rsidRDefault="008F0CED" w:rsidP="008F0CED">
      <w:pPr>
        <w:tabs>
          <w:tab w:val="left" w:pos="2835"/>
        </w:tabs>
        <w:spacing w:after="0" w:line="240" w:lineRule="auto"/>
        <w:rPr>
          <w:rFonts w:ascii="Times New Roman" w:hAnsi="Times New Roman" w:cs="Times New Roman"/>
          <w:sz w:val="20"/>
          <w:szCs w:val="20"/>
          <w:lang w:val="en-GB" w:eastAsia="en-GB"/>
        </w:rPr>
      </w:pPr>
    </w:p>
    <w:p w14:paraId="4D93E3C3" w14:textId="77777777" w:rsidR="008F0CED" w:rsidRPr="008F0CED" w:rsidRDefault="008F0CED" w:rsidP="008F0CED">
      <w:pPr>
        <w:spacing w:before="100" w:beforeAutospacing="1" w:after="100" w:afterAutospacing="1" w:line="240" w:lineRule="auto"/>
        <w:rPr>
          <w:rFonts w:ascii="Times New Roman" w:eastAsia="Times New Roman" w:hAnsi="Times New Roman" w:cs="Times New Roman"/>
          <w:sz w:val="24"/>
          <w:szCs w:val="24"/>
        </w:rPr>
      </w:pPr>
    </w:p>
    <w:p w14:paraId="3D958110" w14:textId="77777777" w:rsidR="008F0CED" w:rsidRPr="008F0CED" w:rsidRDefault="008F0CED" w:rsidP="008F0CED">
      <w:pPr>
        <w:shd w:val="clear" w:color="auto" w:fill="FFFFFF"/>
        <w:jc w:val="center"/>
        <w:rPr>
          <w:rFonts w:ascii="Times New Roman" w:hAnsi="Times New Roman" w:cs="Times New Roman"/>
          <w:sz w:val="24"/>
          <w:szCs w:val="24"/>
          <w:lang w:val="sr-Cyrl-CS"/>
        </w:rPr>
      </w:pPr>
    </w:p>
    <w:p w14:paraId="2B8518C2" w14:textId="77777777" w:rsidR="008F0CED" w:rsidRPr="008F0CED" w:rsidRDefault="008F0CED" w:rsidP="008F0CED">
      <w:pPr>
        <w:shd w:val="clear" w:color="auto" w:fill="FFFFFF"/>
        <w:jc w:val="center"/>
        <w:rPr>
          <w:rFonts w:ascii="Times New Roman" w:hAnsi="Times New Roman" w:cs="Times New Roman"/>
          <w:sz w:val="24"/>
          <w:szCs w:val="24"/>
          <w:lang w:val="sr-Cyrl-CS"/>
        </w:rPr>
      </w:pPr>
    </w:p>
    <w:p w14:paraId="2C138B11" w14:textId="77777777" w:rsidR="00AD68D2" w:rsidRDefault="00AD68D2"/>
    <w:sectPr w:rsidR="00AD68D2" w:rsidSect="00203025">
      <w:headerReference w:type="default" r:id="rId7"/>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B72F8" w14:textId="77777777" w:rsidR="007A178A" w:rsidRDefault="007A178A" w:rsidP="008F0CED">
      <w:pPr>
        <w:spacing w:after="0" w:line="240" w:lineRule="auto"/>
      </w:pPr>
      <w:r>
        <w:separator/>
      </w:r>
    </w:p>
  </w:endnote>
  <w:endnote w:type="continuationSeparator" w:id="0">
    <w:p w14:paraId="164FE23D" w14:textId="77777777" w:rsidR="007A178A" w:rsidRDefault="007A178A" w:rsidP="008F0C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F6DCE" w14:textId="77777777" w:rsidR="007A178A" w:rsidRDefault="007A178A" w:rsidP="008F0CED">
      <w:pPr>
        <w:spacing w:after="0" w:line="240" w:lineRule="auto"/>
      </w:pPr>
      <w:r>
        <w:separator/>
      </w:r>
    </w:p>
  </w:footnote>
  <w:footnote w:type="continuationSeparator" w:id="0">
    <w:p w14:paraId="2F90444B" w14:textId="77777777" w:rsidR="007A178A" w:rsidRDefault="007A178A" w:rsidP="008F0CED">
      <w:pPr>
        <w:spacing w:after="0" w:line="240" w:lineRule="auto"/>
      </w:pPr>
      <w:r>
        <w:continuationSeparator/>
      </w:r>
    </w:p>
  </w:footnote>
  <w:footnote w:id="1">
    <w:p w14:paraId="35A56B0D" w14:textId="77777777" w:rsidR="002E48E1" w:rsidRPr="003025F1" w:rsidRDefault="002E48E1" w:rsidP="002E48E1">
      <w:pPr>
        <w:pStyle w:val="FootnoteText"/>
        <w:rPr>
          <w:lang w:val="sr-Latn-CS"/>
        </w:rPr>
      </w:pPr>
      <w:r>
        <w:rPr>
          <w:rStyle w:val="FootnoteReference"/>
        </w:rPr>
        <w:footnoteRef/>
      </w:r>
      <w:r w:rsidRPr="003025F1">
        <w:rPr>
          <w:lang w:val="ru-RU"/>
        </w:rPr>
        <w:t xml:space="preserve"> </w:t>
      </w:r>
      <w:r w:rsidRPr="00303EB6">
        <w:rPr>
          <w:rFonts w:ascii="Times New Roman" w:hAnsi="Times New Roman" w:cs="Times New Roman"/>
          <w:sz w:val="18"/>
          <w:szCs w:val="18"/>
          <w:lang w:val="sr-Cyrl-CS"/>
        </w:rPr>
        <w:t>Потпуно усклађено</w:t>
      </w:r>
      <w:r w:rsidRPr="00303EB6">
        <w:rPr>
          <w:rFonts w:ascii="Times New Roman" w:hAnsi="Times New Roman" w:cs="Times New Roman"/>
          <w:sz w:val="18"/>
          <w:szCs w:val="18"/>
          <w:lang w:val="sr-Latn-CS"/>
        </w:rPr>
        <w:t xml:space="preserve"> - </w:t>
      </w:r>
      <w:r w:rsidRPr="00303EB6">
        <w:rPr>
          <w:rFonts w:ascii="Times New Roman" w:hAnsi="Times New Roman" w:cs="Times New Roman"/>
          <w:sz w:val="18"/>
          <w:szCs w:val="18"/>
          <w:lang w:val="sr-Cyrl-CS"/>
        </w:rPr>
        <w:t>ПУ, делимично усклађено - ДУ, неу</w:t>
      </w:r>
      <w:r>
        <w:rPr>
          <w:rFonts w:ascii="Times New Roman" w:hAnsi="Times New Roman" w:cs="Times New Roman"/>
          <w:sz w:val="18"/>
          <w:szCs w:val="18"/>
          <w:lang w:val="sr-Cyrl-CS"/>
        </w:rPr>
        <w:t>склађено - НУ, непреносиво – НП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1556989"/>
      <w:docPartObj>
        <w:docPartGallery w:val="Page Numbers (Top of Page)"/>
        <w:docPartUnique/>
      </w:docPartObj>
    </w:sdtPr>
    <w:sdtEndPr>
      <w:rPr>
        <w:rFonts w:ascii="Times New Roman" w:hAnsi="Times New Roman" w:cs="Times New Roman"/>
        <w:noProof/>
      </w:rPr>
    </w:sdtEndPr>
    <w:sdtContent>
      <w:p w14:paraId="5E2946ED" w14:textId="03649C13" w:rsidR="00203025" w:rsidRDefault="00203025">
        <w:pPr>
          <w:pStyle w:val="Header"/>
          <w:jc w:val="center"/>
        </w:pPr>
        <w:r w:rsidRPr="00203025">
          <w:rPr>
            <w:rFonts w:ascii="Times New Roman" w:hAnsi="Times New Roman" w:cs="Times New Roman"/>
          </w:rPr>
          <w:fldChar w:fldCharType="begin"/>
        </w:r>
        <w:r w:rsidRPr="00203025">
          <w:rPr>
            <w:rFonts w:ascii="Times New Roman" w:hAnsi="Times New Roman" w:cs="Times New Roman"/>
          </w:rPr>
          <w:instrText xml:space="preserve"> PAGE   \* MERGEFORMAT </w:instrText>
        </w:r>
        <w:r w:rsidRPr="00203025">
          <w:rPr>
            <w:rFonts w:ascii="Times New Roman" w:hAnsi="Times New Roman" w:cs="Times New Roman"/>
          </w:rPr>
          <w:fldChar w:fldCharType="separate"/>
        </w:r>
        <w:r w:rsidR="00D256C1">
          <w:rPr>
            <w:rFonts w:ascii="Times New Roman" w:hAnsi="Times New Roman" w:cs="Times New Roman"/>
            <w:noProof/>
          </w:rPr>
          <w:t>20</w:t>
        </w:r>
        <w:r w:rsidRPr="00203025">
          <w:rPr>
            <w:rFonts w:ascii="Times New Roman" w:hAnsi="Times New Roman" w:cs="Times New Roman"/>
            <w:noProof/>
          </w:rPr>
          <w:fldChar w:fldCharType="end"/>
        </w:r>
      </w:p>
    </w:sdtContent>
  </w:sdt>
  <w:p w14:paraId="5F2A91F6" w14:textId="77777777" w:rsidR="00203025" w:rsidRDefault="00203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16CF1"/>
    <w:multiLevelType w:val="multilevel"/>
    <w:tmpl w:val="06B83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376472"/>
    <w:multiLevelType w:val="multilevel"/>
    <w:tmpl w:val="88328EA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B17CE1"/>
    <w:multiLevelType w:val="multilevel"/>
    <w:tmpl w:val="D86E7F9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036ED8"/>
    <w:multiLevelType w:val="multilevel"/>
    <w:tmpl w:val="35EAAEA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866D41"/>
    <w:multiLevelType w:val="multilevel"/>
    <w:tmpl w:val="3E5017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D10C2"/>
    <w:multiLevelType w:val="multilevel"/>
    <w:tmpl w:val="7F288F4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721783"/>
    <w:multiLevelType w:val="multilevel"/>
    <w:tmpl w:val="0926665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6A3852"/>
    <w:multiLevelType w:val="multilevel"/>
    <w:tmpl w:val="F52C305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1A2FD2"/>
    <w:multiLevelType w:val="multilevel"/>
    <w:tmpl w:val="A5400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252A65"/>
    <w:multiLevelType w:val="multilevel"/>
    <w:tmpl w:val="4D261D48"/>
    <w:lvl w:ilvl="0">
      <w:start w:val="4"/>
      <w:numFmt w:val="bullet"/>
      <w:pStyle w:val="ListNumber"/>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EFF468E"/>
    <w:multiLevelType w:val="multilevel"/>
    <w:tmpl w:val="DE2488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3676488"/>
    <w:multiLevelType w:val="multilevel"/>
    <w:tmpl w:val="1BC0DF16"/>
    <w:lvl w:ilvl="0">
      <w:start w:val="4"/>
      <w:numFmt w:val="bullet"/>
      <w:lvlText w:val="-"/>
      <w:lvlJc w:val="left"/>
      <w:pPr>
        <w:ind w:left="1440" w:hanging="360"/>
      </w:pPr>
      <w:rPr>
        <w:rFonts w:ascii="Arial" w:eastAsia="Arial" w:hAnsi="Arial" w:cs="Arial"/>
      </w:rPr>
    </w:lvl>
    <w:lvl w:ilvl="1">
      <w:start w:val="1"/>
      <w:numFmt w:val="bullet"/>
      <w:pStyle w:val="Title-sub1"/>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54F62C02"/>
    <w:multiLevelType w:val="multilevel"/>
    <w:tmpl w:val="12E8C42E"/>
    <w:lvl w:ilvl="0">
      <w:start w:val="1"/>
      <w:numFmt w:val="decimal"/>
      <w:lvlText w:val="%1."/>
      <w:lvlJc w:val="left"/>
      <w:pPr>
        <w:ind w:left="360" w:hanging="360"/>
      </w:pPr>
      <w:rPr>
        <w:rFonts w:hint="default"/>
      </w:rPr>
    </w:lvl>
    <w:lvl w:ilvl="1">
      <w:start w:val="1"/>
      <w:numFmt w:val="decimal"/>
      <w:lvlText w:val="%1.%2."/>
      <w:lvlJc w:val="left"/>
      <w:pPr>
        <w:ind w:left="365" w:hanging="360"/>
      </w:pPr>
      <w:rPr>
        <w:rFonts w:hint="default"/>
      </w:rPr>
    </w:lvl>
    <w:lvl w:ilvl="2">
      <w:start w:val="1"/>
      <w:numFmt w:val="lowerLetter"/>
      <w:lvlText w:val="%1.%2.%3."/>
      <w:lvlJc w:val="left"/>
      <w:pPr>
        <w:ind w:left="730" w:hanging="720"/>
      </w:pPr>
      <w:rPr>
        <w:rFonts w:hint="default"/>
      </w:rPr>
    </w:lvl>
    <w:lvl w:ilvl="3">
      <w:start w:val="1"/>
      <w:numFmt w:val="decimal"/>
      <w:lvlText w:val="%1.%2.%3.%4."/>
      <w:lvlJc w:val="left"/>
      <w:pPr>
        <w:ind w:left="735" w:hanging="720"/>
      </w:pPr>
      <w:rPr>
        <w:rFonts w:hint="default"/>
      </w:rPr>
    </w:lvl>
    <w:lvl w:ilvl="4">
      <w:start w:val="1"/>
      <w:numFmt w:val="decimal"/>
      <w:lvlText w:val="%1.%2.%3.%4.%5."/>
      <w:lvlJc w:val="left"/>
      <w:pPr>
        <w:ind w:left="1100" w:hanging="1080"/>
      </w:pPr>
      <w:rPr>
        <w:rFonts w:hint="default"/>
      </w:rPr>
    </w:lvl>
    <w:lvl w:ilvl="5">
      <w:start w:val="1"/>
      <w:numFmt w:val="decimal"/>
      <w:lvlText w:val="%1.%2.%3.%4.%5.%6."/>
      <w:lvlJc w:val="left"/>
      <w:pPr>
        <w:ind w:left="1105" w:hanging="1080"/>
      </w:pPr>
      <w:rPr>
        <w:rFonts w:hint="default"/>
      </w:rPr>
    </w:lvl>
    <w:lvl w:ilvl="6">
      <w:start w:val="1"/>
      <w:numFmt w:val="decimal"/>
      <w:lvlText w:val="%1.%2.%3.%4.%5.%6.%7."/>
      <w:lvlJc w:val="left"/>
      <w:pPr>
        <w:ind w:left="1470" w:hanging="1440"/>
      </w:pPr>
      <w:rPr>
        <w:rFonts w:hint="default"/>
      </w:rPr>
    </w:lvl>
    <w:lvl w:ilvl="7">
      <w:start w:val="1"/>
      <w:numFmt w:val="decimal"/>
      <w:lvlText w:val="%1.%2.%3.%4.%5.%6.%7.%8."/>
      <w:lvlJc w:val="left"/>
      <w:pPr>
        <w:ind w:left="1475" w:hanging="1440"/>
      </w:pPr>
      <w:rPr>
        <w:rFonts w:hint="default"/>
      </w:rPr>
    </w:lvl>
    <w:lvl w:ilvl="8">
      <w:start w:val="1"/>
      <w:numFmt w:val="decimal"/>
      <w:lvlText w:val="%1.%2.%3.%4.%5.%6.%7.%8.%9."/>
      <w:lvlJc w:val="left"/>
      <w:pPr>
        <w:ind w:left="1840" w:hanging="1800"/>
      </w:pPr>
      <w:rPr>
        <w:rFonts w:hint="default"/>
      </w:rPr>
    </w:lvl>
  </w:abstractNum>
  <w:abstractNum w:abstractNumId="13" w15:restartNumberingAfterBreak="0">
    <w:nsid w:val="5CDD5002"/>
    <w:multiLevelType w:val="hybridMultilevel"/>
    <w:tmpl w:val="CA001618"/>
    <w:lvl w:ilvl="0" w:tplc="8FE26F2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183474"/>
    <w:multiLevelType w:val="multilevel"/>
    <w:tmpl w:val="28EEBF4A"/>
    <w:lvl w:ilvl="0">
      <w:start w:val="1"/>
      <w:numFmt w:val="bullet"/>
      <w:pStyle w:val="Number1"/>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DE5491C"/>
    <w:multiLevelType w:val="multilevel"/>
    <w:tmpl w:val="9ABEED5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754378"/>
    <w:multiLevelType w:val="multilevel"/>
    <w:tmpl w:val="3A3A2FE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
  </w:num>
  <w:num w:numId="3">
    <w:abstractNumId w:val="10"/>
  </w:num>
  <w:num w:numId="4">
    <w:abstractNumId w:val="2"/>
  </w:num>
  <w:num w:numId="5">
    <w:abstractNumId w:val="5"/>
  </w:num>
  <w:num w:numId="6">
    <w:abstractNumId w:val="7"/>
  </w:num>
  <w:num w:numId="7">
    <w:abstractNumId w:val="15"/>
  </w:num>
  <w:num w:numId="8">
    <w:abstractNumId w:val="3"/>
  </w:num>
  <w:num w:numId="9">
    <w:abstractNumId w:val="0"/>
  </w:num>
  <w:num w:numId="10">
    <w:abstractNumId w:val="8"/>
  </w:num>
  <w:num w:numId="11">
    <w:abstractNumId w:val="1"/>
  </w:num>
  <w:num w:numId="12">
    <w:abstractNumId w:val="6"/>
  </w:num>
  <w:num w:numId="13">
    <w:abstractNumId w:val="16"/>
  </w:num>
  <w:num w:numId="14">
    <w:abstractNumId w:val="9"/>
  </w:num>
  <w:num w:numId="15">
    <w:abstractNumId w:val="11"/>
  </w:num>
  <w:num w:numId="16">
    <w:abstractNumId w:val="14"/>
  </w:num>
  <w:num w:numId="1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CED"/>
    <w:rsid w:val="00095D63"/>
    <w:rsid w:val="00194F95"/>
    <w:rsid w:val="00203025"/>
    <w:rsid w:val="002161DA"/>
    <w:rsid w:val="002E48E1"/>
    <w:rsid w:val="0067436E"/>
    <w:rsid w:val="00786BAE"/>
    <w:rsid w:val="007A178A"/>
    <w:rsid w:val="008F0CED"/>
    <w:rsid w:val="009935EE"/>
    <w:rsid w:val="00AD68D2"/>
    <w:rsid w:val="00BD16CC"/>
    <w:rsid w:val="00C13707"/>
    <w:rsid w:val="00D256C1"/>
    <w:rsid w:val="00DC4795"/>
    <w:rsid w:val="00F46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89347"/>
  <w15:chartTrackingRefBased/>
  <w15:docId w15:val="{096F202E-1405-44C9-BF64-2F210EAF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7"/>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9"/>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7"/>
    <w:lsdException w:name="Medium Shading 1 Accent 5" w:uiPriority="63"/>
    <w:lsdException w:name="Medium Shading 2 Accent 5" w:uiPriority="69"/>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8F0CED"/>
    <w:pPr>
      <w:keepNext/>
      <w:keepLines/>
      <w:spacing w:after="665"/>
      <w:ind w:left="1440"/>
      <w:outlineLvl w:val="0"/>
    </w:pPr>
    <w:rPr>
      <w:rFonts w:ascii="Times New Roman" w:eastAsia="Times New Roman" w:hAnsi="Times New Roman" w:cs="Times New Roman"/>
      <w:color w:val="000000"/>
      <w:sz w:val="34"/>
    </w:rPr>
  </w:style>
  <w:style w:type="paragraph" w:styleId="Heading2">
    <w:name w:val="heading 2"/>
    <w:basedOn w:val="Normal"/>
    <w:link w:val="Heading2Char"/>
    <w:uiPriority w:val="9"/>
    <w:qFormat/>
    <w:rsid w:val="008F0CED"/>
    <w:pPr>
      <w:spacing w:before="100" w:beforeAutospacing="1" w:after="100" w:afterAutospacing="1" w:line="240" w:lineRule="auto"/>
      <w:outlineLvl w:val="1"/>
    </w:pPr>
    <w:rPr>
      <w:rFonts w:ascii="Times New Roman" w:eastAsia="Times New Roman" w:hAnsi="Times New Roman" w:cs="Times New Roman"/>
      <w:b/>
      <w:bCs/>
      <w:sz w:val="36"/>
      <w:szCs w:val="36"/>
      <w:lang w:val="sr-Latn-RS" w:eastAsia="sr-Latn-RS"/>
    </w:rPr>
  </w:style>
  <w:style w:type="paragraph" w:styleId="Heading3">
    <w:name w:val="heading 3"/>
    <w:basedOn w:val="Normal"/>
    <w:link w:val="Heading3Char"/>
    <w:uiPriority w:val="9"/>
    <w:qFormat/>
    <w:rsid w:val="008F0CED"/>
    <w:pPr>
      <w:spacing w:before="100" w:beforeAutospacing="1" w:after="100" w:afterAutospacing="1" w:line="240" w:lineRule="auto"/>
      <w:outlineLvl w:val="2"/>
    </w:pPr>
    <w:rPr>
      <w:rFonts w:ascii="Times New Roman" w:eastAsia="Times New Roman" w:hAnsi="Times New Roman" w:cs="Times New Roman"/>
      <w:b/>
      <w:bCs/>
      <w:sz w:val="27"/>
      <w:szCs w:val="27"/>
      <w:lang w:val="sr-Latn-RS" w:eastAsia="sr-Latn-RS"/>
    </w:rPr>
  </w:style>
  <w:style w:type="paragraph" w:styleId="Heading4">
    <w:name w:val="heading 4"/>
    <w:basedOn w:val="Normal"/>
    <w:next w:val="Normal"/>
    <w:link w:val="Heading4Char"/>
    <w:uiPriority w:val="9"/>
    <w:qFormat/>
    <w:rsid w:val="008F0CED"/>
    <w:pPr>
      <w:keepNext/>
      <w:keepLines/>
      <w:spacing w:before="200" w:after="0" w:line="274" w:lineRule="auto"/>
      <w:ind w:left="864" w:hanging="864"/>
      <w:outlineLvl w:val="3"/>
    </w:pPr>
    <w:rPr>
      <w:rFonts w:ascii="Calibri" w:eastAsia="MS Gothic" w:hAnsi="Calibri" w:cs="Calibri"/>
      <w:b/>
      <w:bCs/>
      <w:i/>
      <w:iCs/>
      <w:color w:val="000000"/>
      <w:sz w:val="24"/>
      <w:lang w:val="en-GB"/>
    </w:rPr>
  </w:style>
  <w:style w:type="paragraph" w:styleId="Heading5">
    <w:name w:val="heading 5"/>
    <w:basedOn w:val="Normal"/>
    <w:next w:val="Normal"/>
    <w:link w:val="Heading5Char"/>
    <w:uiPriority w:val="9"/>
    <w:qFormat/>
    <w:rsid w:val="008F0CED"/>
    <w:pPr>
      <w:keepNext/>
      <w:keepLines/>
      <w:spacing w:before="200" w:after="0" w:line="274" w:lineRule="auto"/>
      <w:ind w:left="1008" w:hanging="1008"/>
      <w:outlineLvl w:val="4"/>
    </w:pPr>
    <w:rPr>
      <w:rFonts w:ascii="Cambria" w:eastAsia="MS Gothic" w:hAnsi="Cambria" w:cs="Calibri"/>
      <w:color w:val="000000"/>
      <w:lang w:val="en-GB"/>
    </w:rPr>
  </w:style>
  <w:style w:type="paragraph" w:styleId="Heading6">
    <w:name w:val="heading 6"/>
    <w:basedOn w:val="Normal"/>
    <w:next w:val="Normal"/>
    <w:link w:val="Heading6Char"/>
    <w:uiPriority w:val="9"/>
    <w:qFormat/>
    <w:rsid w:val="008F0CED"/>
    <w:pPr>
      <w:keepNext/>
      <w:keepLines/>
      <w:spacing w:before="200" w:after="0" w:line="274" w:lineRule="auto"/>
      <w:ind w:left="1152" w:hanging="1152"/>
      <w:outlineLvl w:val="5"/>
    </w:pPr>
    <w:rPr>
      <w:rFonts w:ascii="Cambria" w:eastAsia="MS Gothic" w:hAnsi="Cambria" w:cs="Calibri"/>
      <w:iCs/>
      <w:color w:val="4F81BD"/>
      <w:lang w:val="en-GB"/>
    </w:rPr>
  </w:style>
  <w:style w:type="paragraph" w:styleId="Heading7">
    <w:name w:val="heading 7"/>
    <w:basedOn w:val="Normal"/>
    <w:next w:val="Normal"/>
    <w:link w:val="Heading7Char"/>
    <w:uiPriority w:val="9"/>
    <w:qFormat/>
    <w:rsid w:val="008F0CED"/>
    <w:pPr>
      <w:keepNext/>
      <w:keepLines/>
      <w:spacing w:before="200" w:after="0" w:line="274" w:lineRule="auto"/>
      <w:ind w:left="1296" w:hanging="1296"/>
      <w:outlineLvl w:val="6"/>
    </w:pPr>
    <w:rPr>
      <w:rFonts w:ascii="Cambria" w:eastAsia="MS Gothic" w:hAnsi="Cambria" w:cs="Calibri"/>
      <w:i/>
      <w:iCs/>
      <w:color w:val="000000"/>
      <w:lang w:val="en-GB"/>
    </w:rPr>
  </w:style>
  <w:style w:type="paragraph" w:styleId="Heading8">
    <w:name w:val="heading 8"/>
    <w:basedOn w:val="Normal"/>
    <w:next w:val="Normal"/>
    <w:link w:val="Heading8Char"/>
    <w:uiPriority w:val="9"/>
    <w:qFormat/>
    <w:rsid w:val="008F0CED"/>
    <w:pPr>
      <w:keepNext/>
      <w:keepLines/>
      <w:spacing w:before="200" w:after="0" w:line="274" w:lineRule="auto"/>
      <w:ind w:left="1440" w:hanging="1440"/>
      <w:outlineLvl w:val="7"/>
    </w:pPr>
    <w:rPr>
      <w:rFonts w:ascii="Cambria" w:eastAsia="MS Gothic" w:hAnsi="Cambria" w:cs="Calibri"/>
      <w:color w:val="000000"/>
      <w:sz w:val="20"/>
      <w:szCs w:val="20"/>
      <w:lang w:val="en-GB"/>
    </w:rPr>
  </w:style>
  <w:style w:type="paragraph" w:styleId="Heading9">
    <w:name w:val="heading 9"/>
    <w:basedOn w:val="Normal"/>
    <w:next w:val="Normal"/>
    <w:link w:val="Heading9Char"/>
    <w:uiPriority w:val="9"/>
    <w:qFormat/>
    <w:rsid w:val="008F0CED"/>
    <w:pPr>
      <w:keepNext/>
      <w:keepLines/>
      <w:spacing w:before="200" w:after="0" w:line="274" w:lineRule="auto"/>
      <w:ind w:left="1584" w:hanging="1584"/>
      <w:outlineLvl w:val="8"/>
    </w:pPr>
    <w:rPr>
      <w:rFonts w:ascii="Cambria" w:eastAsia="MS Gothic" w:hAnsi="Cambria" w:cs="Calibri"/>
      <w:i/>
      <w:iCs/>
      <w:color w:val="00000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0CED"/>
    <w:rPr>
      <w:rFonts w:ascii="Times New Roman" w:eastAsia="Times New Roman" w:hAnsi="Times New Roman" w:cs="Times New Roman"/>
      <w:color w:val="000000"/>
      <w:sz w:val="34"/>
    </w:rPr>
  </w:style>
  <w:style w:type="character" w:customStyle="1" w:styleId="Heading2Char">
    <w:name w:val="Heading 2 Char"/>
    <w:basedOn w:val="DefaultParagraphFont"/>
    <w:link w:val="Heading2"/>
    <w:uiPriority w:val="9"/>
    <w:rsid w:val="008F0CED"/>
    <w:rPr>
      <w:rFonts w:ascii="Times New Roman" w:eastAsia="Times New Roman" w:hAnsi="Times New Roman" w:cs="Times New Roman"/>
      <w:b/>
      <w:bCs/>
      <w:sz w:val="36"/>
      <w:szCs w:val="36"/>
      <w:lang w:val="sr-Latn-RS" w:eastAsia="sr-Latn-RS"/>
    </w:rPr>
  </w:style>
  <w:style w:type="character" w:customStyle="1" w:styleId="Heading3Char">
    <w:name w:val="Heading 3 Char"/>
    <w:basedOn w:val="DefaultParagraphFont"/>
    <w:link w:val="Heading3"/>
    <w:uiPriority w:val="9"/>
    <w:rsid w:val="008F0CED"/>
    <w:rPr>
      <w:rFonts w:ascii="Times New Roman" w:eastAsia="Times New Roman" w:hAnsi="Times New Roman" w:cs="Times New Roman"/>
      <w:b/>
      <w:bCs/>
      <w:sz w:val="27"/>
      <w:szCs w:val="27"/>
      <w:lang w:val="sr-Latn-RS" w:eastAsia="sr-Latn-RS"/>
    </w:rPr>
  </w:style>
  <w:style w:type="character" w:customStyle="1" w:styleId="Heading4Char">
    <w:name w:val="Heading 4 Char"/>
    <w:basedOn w:val="DefaultParagraphFont"/>
    <w:link w:val="Heading4"/>
    <w:uiPriority w:val="9"/>
    <w:rsid w:val="008F0CED"/>
    <w:rPr>
      <w:rFonts w:ascii="Calibri" w:eastAsia="MS Gothic" w:hAnsi="Calibri" w:cs="Calibri"/>
      <w:b/>
      <w:bCs/>
      <w:i/>
      <w:iCs/>
      <w:color w:val="000000"/>
      <w:sz w:val="24"/>
      <w:lang w:val="en-GB"/>
    </w:rPr>
  </w:style>
  <w:style w:type="character" w:customStyle="1" w:styleId="Heading5Char">
    <w:name w:val="Heading 5 Char"/>
    <w:basedOn w:val="DefaultParagraphFont"/>
    <w:link w:val="Heading5"/>
    <w:uiPriority w:val="9"/>
    <w:rsid w:val="008F0CED"/>
    <w:rPr>
      <w:rFonts w:ascii="Cambria" w:eastAsia="MS Gothic" w:hAnsi="Cambria" w:cs="Calibri"/>
      <w:color w:val="000000"/>
      <w:lang w:val="en-GB"/>
    </w:rPr>
  </w:style>
  <w:style w:type="character" w:customStyle="1" w:styleId="Heading6Char">
    <w:name w:val="Heading 6 Char"/>
    <w:basedOn w:val="DefaultParagraphFont"/>
    <w:link w:val="Heading6"/>
    <w:uiPriority w:val="9"/>
    <w:rsid w:val="008F0CED"/>
    <w:rPr>
      <w:rFonts w:ascii="Cambria" w:eastAsia="MS Gothic" w:hAnsi="Cambria" w:cs="Calibri"/>
      <w:iCs/>
      <w:color w:val="4F81BD"/>
      <w:lang w:val="en-GB"/>
    </w:rPr>
  </w:style>
  <w:style w:type="character" w:customStyle="1" w:styleId="Heading7Char">
    <w:name w:val="Heading 7 Char"/>
    <w:basedOn w:val="DefaultParagraphFont"/>
    <w:link w:val="Heading7"/>
    <w:uiPriority w:val="9"/>
    <w:rsid w:val="008F0CED"/>
    <w:rPr>
      <w:rFonts w:ascii="Cambria" w:eastAsia="MS Gothic" w:hAnsi="Cambria" w:cs="Calibri"/>
      <w:i/>
      <w:iCs/>
      <w:color w:val="000000"/>
      <w:lang w:val="en-GB"/>
    </w:rPr>
  </w:style>
  <w:style w:type="character" w:customStyle="1" w:styleId="Heading8Char">
    <w:name w:val="Heading 8 Char"/>
    <w:basedOn w:val="DefaultParagraphFont"/>
    <w:link w:val="Heading8"/>
    <w:uiPriority w:val="9"/>
    <w:rsid w:val="008F0CED"/>
    <w:rPr>
      <w:rFonts w:ascii="Cambria" w:eastAsia="MS Gothic" w:hAnsi="Cambria" w:cs="Calibri"/>
      <w:color w:val="000000"/>
      <w:sz w:val="20"/>
      <w:szCs w:val="20"/>
      <w:lang w:val="en-GB"/>
    </w:rPr>
  </w:style>
  <w:style w:type="character" w:customStyle="1" w:styleId="Heading9Char">
    <w:name w:val="Heading 9 Char"/>
    <w:basedOn w:val="DefaultParagraphFont"/>
    <w:link w:val="Heading9"/>
    <w:uiPriority w:val="9"/>
    <w:rsid w:val="008F0CED"/>
    <w:rPr>
      <w:rFonts w:ascii="Cambria" w:eastAsia="MS Gothic" w:hAnsi="Cambria" w:cs="Calibri"/>
      <w:i/>
      <w:iCs/>
      <w:color w:val="000000"/>
      <w:sz w:val="20"/>
      <w:szCs w:val="20"/>
      <w:lang w:val="en-GB"/>
    </w:rPr>
  </w:style>
  <w:style w:type="numbering" w:customStyle="1" w:styleId="NoList1">
    <w:name w:val="No List1"/>
    <w:next w:val="NoList"/>
    <w:uiPriority w:val="99"/>
    <w:semiHidden/>
    <w:unhideWhenUsed/>
    <w:rsid w:val="008F0CED"/>
  </w:style>
  <w:style w:type="paragraph" w:customStyle="1" w:styleId="Zakon">
    <w:name w:val="Zakon"/>
    <w:basedOn w:val="Normal"/>
    <w:rsid w:val="008F0CED"/>
    <w:pPr>
      <w:keepNext/>
      <w:spacing w:after="120" w:line="240" w:lineRule="auto"/>
      <w:ind w:left="720" w:right="720"/>
      <w:jc w:val="center"/>
    </w:pPr>
    <w:rPr>
      <w:rFonts w:ascii="Arial" w:eastAsia="Times New Roman" w:hAnsi="Arial" w:cs="Times New Roman"/>
      <w:b/>
      <w:caps/>
      <w:sz w:val="36"/>
      <w:szCs w:val="20"/>
    </w:rPr>
  </w:style>
  <w:style w:type="paragraph" w:customStyle="1" w:styleId="Zakon1">
    <w:name w:val="Zakon1"/>
    <w:basedOn w:val="Zakon"/>
    <w:rsid w:val="008F0CED"/>
    <w:rPr>
      <w:sz w:val="28"/>
    </w:rPr>
  </w:style>
  <w:style w:type="paragraph" w:customStyle="1" w:styleId="bold">
    <w:name w:val="bold"/>
    <w:basedOn w:val="Normal"/>
    <w:rsid w:val="008F0CED"/>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paragraph" w:customStyle="1" w:styleId="basic-paragraph">
    <w:name w:val="basic-paragraph"/>
    <w:basedOn w:val="Normal"/>
    <w:rsid w:val="008F0CED"/>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paragraph" w:styleId="ListParagraph">
    <w:name w:val="List Paragraph"/>
    <w:basedOn w:val="Normal"/>
    <w:link w:val="ListParagraphChar"/>
    <w:uiPriority w:val="34"/>
    <w:qFormat/>
    <w:rsid w:val="008F0CED"/>
    <w:pPr>
      <w:spacing w:after="0" w:line="240" w:lineRule="auto"/>
      <w:ind w:left="720"/>
      <w:contextualSpacing/>
    </w:pPr>
    <w:rPr>
      <w:rFonts w:ascii="Calibri" w:hAnsi="Calibri" w:cs="Calibri"/>
      <w:lang w:val="en-GB" w:eastAsia="en-GB"/>
    </w:rPr>
  </w:style>
  <w:style w:type="character" w:customStyle="1" w:styleId="ListParagraphChar">
    <w:name w:val="List Paragraph Char"/>
    <w:link w:val="ListParagraph"/>
    <w:uiPriority w:val="34"/>
    <w:locked/>
    <w:rsid w:val="008F0CED"/>
    <w:rPr>
      <w:rFonts w:ascii="Calibri" w:hAnsi="Calibri" w:cs="Calibri"/>
      <w:lang w:val="en-GB" w:eastAsia="en-GB"/>
    </w:rPr>
  </w:style>
  <w:style w:type="character" w:styleId="Strong">
    <w:name w:val="Strong"/>
    <w:basedOn w:val="DefaultParagraphFont"/>
    <w:uiPriority w:val="22"/>
    <w:qFormat/>
    <w:rsid w:val="008F0CED"/>
    <w:rPr>
      <w:b/>
      <w:bCs/>
    </w:rPr>
  </w:style>
  <w:style w:type="table" w:styleId="TableGrid">
    <w:name w:val="Table Grid"/>
    <w:basedOn w:val="TableNormal"/>
    <w:uiPriority w:val="39"/>
    <w:rsid w:val="008F0CED"/>
    <w:pPr>
      <w:autoSpaceDN w:val="0"/>
      <w:spacing w:after="0" w:line="240" w:lineRule="auto"/>
      <w:textAlignment w:val="baseline"/>
    </w:pPr>
    <w:rPr>
      <w:rFonts w:ascii="Times New Roman" w:eastAsia="Calibri" w:hAnsi="Times New Roman" w:cs="Times New Roman"/>
      <w:sz w:val="24"/>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to-style2">
    <w:name w:val="auto-style2"/>
    <w:basedOn w:val="DefaultParagraphFont"/>
    <w:rsid w:val="008F0CED"/>
  </w:style>
  <w:style w:type="character" w:styleId="Hyperlink">
    <w:name w:val="Hyperlink"/>
    <w:uiPriority w:val="99"/>
    <w:rsid w:val="008F0CED"/>
    <w:rPr>
      <w:color w:val="0000FF"/>
      <w:u w:val="single"/>
    </w:rPr>
  </w:style>
  <w:style w:type="character" w:customStyle="1" w:styleId="apple-converted-space">
    <w:name w:val="apple-converted-space"/>
    <w:rsid w:val="008F0CED"/>
  </w:style>
  <w:style w:type="character" w:customStyle="1" w:styleId="bold1">
    <w:name w:val="bold1"/>
    <w:basedOn w:val="DefaultParagraphFont"/>
    <w:rsid w:val="008F0CED"/>
  </w:style>
  <w:style w:type="paragraph" w:customStyle="1" w:styleId="naslov">
    <w:name w:val="naslov"/>
    <w:basedOn w:val="Normal"/>
    <w:rsid w:val="008F0CED"/>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aliases w:val="Char2"/>
    <w:basedOn w:val="Normal"/>
    <w:link w:val="CommentTextChar"/>
    <w:uiPriority w:val="99"/>
    <w:unhideWhenUsed/>
    <w:qFormat/>
    <w:rsid w:val="008F0CED"/>
    <w:pPr>
      <w:spacing w:line="240" w:lineRule="auto"/>
    </w:pPr>
    <w:rPr>
      <w:sz w:val="20"/>
      <w:szCs w:val="20"/>
      <w:lang w:val="sr-Latn-BA"/>
    </w:rPr>
  </w:style>
  <w:style w:type="character" w:customStyle="1" w:styleId="CommentTextChar">
    <w:name w:val="Comment Text Char"/>
    <w:aliases w:val="Char2 Char"/>
    <w:basedOn w:val="DefaultParagraphFont"/>
    <w:link w:val="CommentText"/>
    <w:uiPriority w:val="99"/>
    <w:qFormat/>
    <w:rsid w:val="008F0CED"/>
    <w:rPr>
      <w:sz w:val="20"/>
      <w:szCs w:val="20"/>
      <w:lang w:val="sr-Latn-BA"/>
    </w:rPr>
  </w:style>
  <w:style w:type="character" w:customStyle="1" w:styleId="BalloonTextChar">
    <w:name w:val="Balloon Text Char"/>
    <w:basedOn w:val="DefaultParagraphFont"/>
    <w:link w:val="BalloonText"/>
    <w:uiPriority w:val="99"/>
    <w:semiHidden/>
    <w:rsid w:val="008F0CED"/>
    <w:rPr>
      <w:rFonts w:ascii="Segoe UI" w:hAnsi="Segoe UI" w:cs="Segoe UI"/>
      <w:sz w:val="18"/>
      <w:szCs w:val="18"/>
      <w:lang w:val="sr-Latn-BA"/>
    </w:rPr>
  </w:style>
  <w:style w:type="paragraph" w:styleId="BalloonText">
    <w:name w:val="Balloon Text"/>
    <w:basedOn w:val="Normal"/>
    <w:link w:val="BalloonTextChar"/>
    <w:uiPriority w:val="99"/>
    <w:semiHidden/>
    <w:unhideWhenUsed/>
    <w:rsid w:val="008F0CED"/>
    <w:pPr>
      <w:spacing w:after="0" w:line="240" w:lineRule="auto"/>
    </w:pPr>
    <w:rPr>
      <w:rFonts w:ascii="Segoe UI" w:hAnsi="Segoe UI" w:cs="Segoe UI"/>
      <w:sz w:val="18"/>
      <w:szCs w:val="18"/>
      <w:lang w:val="sr-Latn-BA"/>
    </w:rPr>
  </w:style>
  <w:style w:type="character" w:customStyle="1" w:styleId="BalloonTextChar1">
    <w:name w:val="Balloon Text Char1"/>
    <w:basedOn w:val="DefaultParagraphFont"/>
    <w:uiPriority w:val="99"/>
    <w:semiHidden/>
    <w:rsid w:val="008F0CED"/>
    <w:rPr>
      <w:rFonts w:ascii="Segoe UI" w:hAnsi="Segoe UI" w:cs="Segoe UI"/>
      <w:sz w:val="18"/>
      <w:szCs w:val="18"/>
    </w:rPr>
  </w:style>
  <w:style w:type="paragraph" w:customStyle="1" w:styleId="v2-clan-left-1">
    <w:name w:val="v2-clan-left-1"/>
    <w:basedOn w:val="Normal"/>
    <w:rsid w:val="008F0CED"/>
    <w:pPr>
      <w:spacing w:before="100" w:beforeAutospacing="1" w:after="100" w:afterAutospacing="1" w:line="240" w:lineRule="auto"/>
    </w:pPr>
    <w:rPr>
      <w:rFonts w:ascii="Times New Roman" w:eastAsia="Times New Roman" w:hAnsi="Times New Roman" w:cs="Times New Roman"/>
      <w:noProof/>
      <w:sz w:val="24"/>
      <w:szCs w:val="24"/>
      <w:lang w:val="sr-Cyrl-RS"/>
    </w:rPr>
  </w:style>
  <w:style w:type="paragraph" w:customStyle="1" w:styleId="odluka-zakon">
    <w:name w:val="odluka-zakon"/>
    <w:basedOn w:val="Normal"/>
    <w:rsid w:val="008F0CED"/>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paragraph" w:customStyle="1" w:styleId="centar">
    <w:name w:val="centar"/>
    <w:basedOn w:val="Normal"/>
    <w:rsid w:val="008F0CED"/>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paragraph" w:styleId="Title">
    <w:name w:val="Title"/>
    <w:basedOn w:val="Normal"/>
    <w:next w:val="Normal"/>
    <w:link w:val="TitleChar"/>
    <w:uiPriority w:val="10"/>
    <w:qFormat/>
    <w:rsid w:val="008F0CED"/>
    <w:pPr>
      <w:spacing w:after="120" w:line="240" w:lineRule="auto"/>
      <w:contextualSpacing/>
    </w:pPr>
    <w:rPr>
      <w:rFonts w:ascii="Cambria" w:eastAsia="MS Gothic" w:hAnsi="Cambria" w:cs="Calibri"/>
      <w:color w:val="1F497D"/>
      <w:spacing w:val="30"/>
      <w:kern w:val="28"/>
      <w:sz w:val="96"/>
      <w:szCs w:val="52"/>
      <w:lang w:val="en-GB"/>
    </w:rPr>
  </w:style>
  <w:style w:type="character" w:customStyle="1" w:styleId="TitleChar">
    <w:name w:val="Title Char"/>
    <w:basedOn w:val="DefaultParagraphFont"/>
    <w:link w:val="Title"/>
    <w:uiPriority w:val="10"/>
    <w:rsid w:val="008F0CED"/>
    <w:rPr>
      <w:rFonts w:ascii="Cambria" w:eastAsia="MS Gothic" w:hAnsi="Cambria" w:cs="Calibri"/>
      <w:color w:val="1F497D"/>
      <w:spacing w:val="30"/>
      <w:kern w:val="28"/>
      <w:sz w:val="96"/>
      <w:szCs w:val="52"/>
      <w:lang w:val="en-GB"/>
    </w:rPr>
  </w:style>
  <w:style w:type="paragraph" w:customStyle="1" w:styleId="clan">
    <w:name w:val="clan"/>
    <w:basedOn w:val="Normal"/>
    <w:rsid w:val="008F0CED"/>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character" w:customStyle="1" w:styleId="pronadjen">
    <w:name w:val="pronadjen"/>
    <w:basedOn w:val="DefaultParagraphFont"/>
    <w:rsid w:val="008F0CED"/>
  </w:style>
  <w:style w:type="character" w:customStyle="1" w:styleId="ztplmc">
    <w:name w:val="ztplmc"/>
    <w:basedOn w:val="DefaultParagraphFont"/>
    <w:rsid w:val="008F0CED"/>
  </w:style>
  <w:style w:type="character" w:customStyle="1" w:styleId="hwtze">
    <w:name w:val="hwtze"/>
    <w:basedOn w:val="DefaultParagraphFont"/>
    <w:rsid w:val="008F0CED"/>
  </w:style>
  <w:style w:type="character" w:customStyle="1" w:styleId="rynqvb">
    <w:name w:val="rynqvb"/>
    <w:basedOn w:val="DefaultParagraphFont"/>
    <w:rsid w:val="008F0CED"/>
  </w:style>
  <w:style w:type="paragraph" w:customStyle="1" w:styleId="Para">
    <w:name w:val="Para"/>
    <w:link w:val="ParaChar"/>
    <w:uiPriority w:val="4"/>
    <w:qFormat/>
    <w:rsid w:val="008F0CED"/>
    <w:pPr>
      <w:spacing w:before="120" w:after="120" w:line="260" w:lineRule="atLeast"/>
      <w:jc w:val="both"/>
    </w:pPr>
    <w:rPr>
      <w:color w:val="000000" w:themeColor="text1"/>
      <w:sz w:val="20"/>
      <w:lang w:val="en-GB"/>
    </w:rPr>
  </w:style>
  <w:style w:type="character" w:customStyle="1" w:styleId="ParaChar">
    <w:name w:val="Para Char"/>
    <w:basedOn w:val="DefaultParagraphFont"/>
    <w:link w:val="Para"/>
    <w:uiPriority w:val="4"/>
    <w:rsid w:val="008F0CED"/>
    <w:rPr>
      <w:color w:val="000000" w:themeColor="text1"/>
      <w:sz w:val="20"/>
      <w:lang w:val="en-GB"/>
    </w:rPr>
  </w:style>
  <w:style w:type="paragraph" w:styleId="Header">
    <w:name w:val="header"/>
    <w:basedOn w:val="Normal"/>
    <w:link w:val="HeaderChar"/>
    <w:uiPriority w:val="99"/>
    <w:unhideWhenUsed/>
    <w:rsid w:val="008F0CED"/>
    <w:pPr>
      <w:tabs>
        <w:tab w:val="center" w:pos="4513"/>
        <w:tab w:val="right" w:pos="9026"/>
      </w:tabs>
      <w:spacing w:after="0" w:line="240" w:lineRule="auto"/>
    </w:pPr>
    <w:rPr>
      <w:lang w:val="sr-Latn-BA"/>
    </w:rPr>
  </w:style>
  <w:style w:type="character" w:customStyle="1" w:styleId="HeaderChar">
    <w:name w:val="Header Char"/>
    <w:basedOn w:val="DefaultParagraphFont"/>
    <w:link w:val="Header"/>
    <w:uiPriority w:val="99"/>
    <w:rsid w:val="008F0CED"/>
    <w:rPr>
      <w:lang w:val="sr-Latn-BA"/>
    </w:rPr>
  </w:style>
  <w:style w:type="paragraph" w:styleId="Footer">
    <w:name w:val="footer"/>
    <w:basedOn w:val="Normal"/>
    <w:link w:val="FooterChar"/>
    <w:uiPriority w:val="99"/>
    <w:unhideWhenUsed/>
    <w:rsid w:val="008F0CED"/>
    <w:pPr>
      <w:tabs>
        <w:tab w:val="center" w:pos="4513"/>
        <w:tab w:val="right" w:pos="9026"/>
      </w:tabs>
      <w:spacing w:after="0" w:line="240" w:lineRule="auto"/>
    </w:pPr>
    <w:rPr>
      <w:lang w:val="sr-Latn-BA"/>
    </w:rPr>
  </w:style>
  <w:style w:type="character" w:customStyle="1" w:styleId="FooterChar">
    <w:name w:val="Footer Char"/>
    <w:basedOn w:val="DefaultParagraphFont"/>
    <w:link w:val="Footer"/>
    <w:uiPriority w:val="99"/>
    <w:rsid w:val="008F0CED"/>
    <w:rPr>
      <w:lang w:val="sr-Latn-BA"/>
    </w:rPr>
  </w:style>
  <w:style w:type="character" w:customStyle="1" w:styleId="CommentSubjectChar">
    <w:name w:val="Comment Subject Char"/>
    <w:basedOn w:val="CommentTextChar"/>
    <w:link w:val="CommentSubject"/>
    <w:uiPriority w:val="99"/>
    <w:semiHidden/>
    <w:rsid w:val="008F0CED"/>
    <w:rPr>
      <w:b/>
      <w:bCs/>
      <w:sz w:val="20"/>
      <w:szCs w:val="20"/>
      <w:lang w:val="sr-Latn-BA"/>
    </w:rPr>
  </w:style>
  <w:style w:type="paragraph" w:styleId="CommentSubject">
    <w:name w:val="annotation subject"/>
    <w:basedOn w:val="CommentText"/>
    <w:next w:val="CommentText"/>
    <w:link w:val="CommentSubjectChar"/>
    <w:uiPriority w:val="99"/>
    <w:semiHidden/>
    <w:unhideWhenUsed/>
    <w:rsid w:val="008F0CED"/>
    <w:rPr>
      <w:b/>
      <w:bCs/>
    </w:rPr>
  </w:style>
  <w:style w:type="character" w:customStyle="1" w:styleId="CommentSubjectChar1">
    <w:name w:val="Comment Subject Char1"/>
    <w:basedOn w:val="CommentTextChar"/>
    <w:uiPriority w:val="99"/>
    <w:semiHidden/>
    <w:rsid w:val="008F0CED"/>
    <w:rPr>
      <w:b/>
      <w:bCs/>
      <w:sz w:val="20"/>
      <w:szCs w:val="20"/>
      <w:lang w:val="sr-Latn-BA"/>
    </w:rPr>
  </w:style>
  <w:style w:type="paragraph" w:styleId="NormalWeb">
    <w:name w:val="Normal (Web)"/>
    <w:basedOn w:val="Normal"/>
    <w:uiPriority w:val="99"/>
    <w:unhideWhenUsed/>
    <w:rsid w:val="008F0CED"/>
    <w:pPr>
      <w:spacing w:after="90" w:line="240" w:lineRule="auto"/>
    </w:pPr>
    <w:rPr>
      <w:rFonts w:ascii="Times New Roman" w:eastAsia="Times New Roman" w:hAnsi="Times New Roman" w:cs="Times New Roman"/>
      <w:sz w:val="24"/>
      <w:szCs w:val="24"/>
    </w:rPr>
  </w:style>
  <w:style w:type="paragraph" w:styleId="NoSpacing">
    <w:name w:val="No Spacing"/>
    <w:uiPriority w:val="1"/>
    <w:qFormat/>
    <w:rsid w:val="008F0CED"/>
    <w:pPr>
      <w:spacing w:after="0" w:line="240" w:lineRule="auto"/>
    </w:pPr>
    <w:rPr>
      <w:rFonts w:ascii="Calibri" w:hAnsi="Calibri" w:cs="Calibri"/>
      <w:lang w:val="en-GB" w:eastAsia="en-GB"/>
    </w:rPr>
  </w:style>
  <w:style w:type="character" w:customStyle="1" w:styleId="FootnoteTextChar">
    <w:name w:val="Footnote Text Char"/>
    <w:aliases w:val="fn Char,Footnote Text Char Char Char Char,Footnote Text Char Char Char1,Fußnote Char,Car Car Char,Footnote Text Char Char1 Char,Footnote Text Char1 Char Char Char,Footnote Text Char Char1 Char Char Char,single space Char"/>
    <w:basedOn w:val="DefaultParagraphFont"/>
    <w:link w:val="FootnoteText"/>
    <w:uiPriority w:val="99"/>
    <w:qFormat/>
    <w:locked/>
    <w:rsid w:val="008F0CED"/>
    <w:rPr>
      <w:rFonts w:ascii="Arial" w:eastAsia="Calibri" w:hAnsi="Arial" w:cs="Arial"/>
    </w:rPr>
  </w:style>
  <w:style w:type="paragraph" w:styleId="FootnoteText">
    <w:name w:val="footnote text"/>
    <w:aliases w:val="fn,Footnote Text Char Char Char,Footnote Text Char Char,Fußnote,Car Car,Footnote Text Char Char1,Footnote Text Char1 Char Char,Footnote Text Char Char1 Char Char,Footnote Text Char Char Char Char Char Char,single space,footnote te"/>
    <w:basedOn w:val="Normal"/>
    <w:link w:val="FootnoteTextChar"/>
    <w:uiPriority w:val="99"/>
    <w:unhideWhenUsed/>
    <w:qFormat/>
    <w:rsid w:val="008F0CED"/>
    <w:pPr>
      <w:spacing w:after="0" w:line="240" w:lineRule="auto"/>
    </w:pPr>
    <w:rPr>
      <w:rFonts w:ascii="Arial" w:eastAsia="Calibri" w:hAnsi="Arial" w:cs="Arial"/>
    </w:rPr>
  </w:style>
  <w:style w:type="character" w:customStyle="1" w:styleId="FootnoteTextChar1">
    <w:name w:val="Footnote Text Char1"/>
    <w:basedOn w:val="DefaultParagraphFont"/>
    <w:uiPriority w:val="99"/>
    <w:semiHidden/>
    <w:rsid w:val="008F0CED"/>
    <w:rPr>
      <w:sz w:val="20"/>
      <w:szCs w:val="20"/>
    </w:rPr>
  </w:style>
  <w:style w:type="paragraph" w:customStyle="1" w:styleId="Normal1">
    <w:name w:val="Normal1"/>
    <w:basedOn w:val="Normal"/>
    <w:rsid w:val="008F0CED"/>
    <w:pPr>
      <w:spacing w:before="100" w:beforeAutospacing="1" w:after="100" w:afterAutospacing="1" w:line="240" w:lineRule="auto"/>
    </w:pPr>
    <w:rPr>
      <w:rFonts w:ascii="Arial" w:eastAsia="Times New Roman" w:hAnsi="Arial" w:cs="Arial"/>
    </w:rPr>
  </w:style>
  <w:style w:type="character" w:styleId="FootnoteReference">
    <w:name w:val="footnote reference"/>
    <w:aliases w:val="Footnote symbol,Footnote reference number,note TESI,ftref,BVI fnr,Char Char Char Char Carattere Char,Char Char Car Car Char Char Char Char Carattere Char,Char Char Char Char Char Carattere Char, BVI fnr, Car1,Car1,ftref Char,16 Point"/>
    <w:link w:val="BVIfnrCharCar1CarChar"/>
    <w:qFormat/>
    <w:rsid w:val="008F0CED"/>
    <w:rPr>
      <w:vertAlign w:val="superscript"/>
    </w:rPr>
  </w:style>
  <w:style w:type="paragraph" w:customStyle="1" w:styleId="Naslov0">
    <w:name w:val="Naslov"/>
    <w:link w:val="NaslovChar"/>
    <w:qFormat/>
    <w:rsid w:val="008F0CED"/>
    <w:pPr>
      <w:spacing w:after="200" w:line="276" w:lineRule="auto"/>
      <w:ind w:left="1440"/>
    </w:pPr>
    <w:rPr>
      <w:rFonts w:ascii="Arial" w:eastAsia="Calibri" w:hAnsi="Arial" w:cs="Times New Roman"/>
      <w:b/>
      <w:noProof/>
      <w:color w:val="505050"/>
      <w:sz w:val="24"/>
      <w:lang w:val="en-GB" w:eastAsia="en-GB"/>
    </w:rPr>
  </w:style>
  <w:style w:type="character" w:customStyle="1" w:styleId="NaslovChar">
    <w:name w:val="Naslov Char"/>
    <w:basedOn w:val="DefaultParagraphFont"/>
    <w:link w:val="Naslov0"/>
    <w:rsid w:val="008F0CED"/>
    <w:rPr>
      <w:rFonts w:ascii="Arial" w:eastAsia="Calibri" w:hAnsi="Arial" w:cs="Times New Roman"/>
      <w:b/>
      <w:noProof/>
      <w:color w:val="505050"/>
      <w:sz w:val="24"/>
      <w:lang w:val="en-GB" w:eastAsia="en-GB"/>
    </w:rPr>
  </w:style>
  <w:style w:type="table" w:customStyle="1" w:styleId="TableGrid1">
    <w:name w:val="Table Grid1"/>
    <w:basedOn w:val="TableNormal"/>
    <w:next w:val="TableGrid"/>
    <w:uiPriority w:val="39"/>
    <w:rsid w:val="008F0C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F0CED"/>
  </w:style>
  <w:style w:type="character" w:customStyle="1" w:styleId="expand">
    <w:name w:val="expand"/>
    <w:basedOn w:val="DefaultParagraphFont"/>
    <w:rsid w:val="008F0CED"/>
  </w:style>
  <w:style w:type="paragraph" w:customStyle="1" w:styleId="ColorfulList-Accent11">
    <w:name w:val="Colorful List - Accent 11"/>
    <w:basedOn w:val="Normal"/>
    <w:link w:val="ColorfulList-Accent1Char"/>
    <w:uiPriority w:val="34"/>
    <w:qFormat/>
    <w:rsid w:val="008F0CED"/>
    <w:pPr>
      <w:spacing w:after="200" w:line="276" w:lineRule="auto"/>
      <w:ind w:left="720"/>
      <w:contextualSpacing/>
    </w:pPr>
    <w:rPr>
      <w:rFonts w:ascii="Calibri" w:eastAsia="Calibri" w:hAnsi="Calibri" w:cs="Calibri"/>
      <w:sz w:val="20"/>
      <w:szCs w:val="20"/>
      <w:lang w:val="sr-Cyrl-CS" w:eastAsia="x-none"/>
    </w:rPr>
  </w:style>
  <w:style w:type="paragraph" w:customStyle="1" w:styleId="Default">
    <w:name w:val="Default"/>
    <w:rsid w:val="008F0CED"/>
    <w:pPr>
      <w:autoSpaceDE w:val="0"/>
      <w:autoSpaceDN w:val="0"/>
      <w:adjustRightInd w:val="0"/>
      <w:spacing w:after="200" w:line="276" w:lineRule="auto"/>
    </w:pPr>
    <w:rPr>
      <w:rFonts w:ascii="Times New Roman" w:eastAsia="Calibri" w:hAnsi="Times New Roman" w:cs="Calibri"/>
      <w:color w:val="000000"/>
      <w:sz w:val="24"/>
      <w:szCs w:val="24"/>
      <w:lang w:val="sr-Cyrl-CS"/>
    </w:rPr>
  </w:style>
  <w:style w:type="character" w:styleId="CommentReference">
    <w:name w:val="annotation reference"/>
    <w:uiPriority w:val="99"/>
    <w:semiHidden/>
    <w:unhideWhenUsed/>
    <w:qFormat/>
    <w:rsid w:val="008F0CED"/>
    <w:rPr>
      <w:sz w:val="16"/>
      <w:szCs w:val="16"/>
    </w:rPr>
  </w:style>
  <w:style w:type="paragraph" w:styleId="ListNumber">
    <w:name w:val="List Number"/>
    <w:basedOn w:val="List"/>
    <w:uiPriority w:val="99"/>
    <w:unhideWhenUsed/>
    <w:rsid w:val="008F0CED"/>
    <w:pPr>
      <w:numPr>
        <w:numId w:val="14"/>
      </w:numPr>
      <w:spacing w:after="200" w:line="276" w:lineRule="auto"/>
    </w:pPr>
    <w:rPr>
      <w:rFonts w:eastAsia="MS Mincho"/>
      <w:b/>
      <w:color w:val="002060"/>
      <w:sz w:val="22"/>
      <w:lang w:val="en-US"/>
    </w:rPr>
  </w:style>
  <w:style w:type="paragraph" w:styleId="List">
    <w:name w:val="List"/>
    <w:basedOn w:val="Normal"/>
    <w:uiPriority w:val="99"/>
    <w:semiHidden/>
    <w:unhideWhenUsed/>
    <w:rsid w:val="008F0CED"/>
    <w:pPr>
      <w:spacing w:after="180" w:line="274" w:lineRule="auto"/>
      <w:ind w:left="283" w:hanging="283"/>
      <w:contextualSpacing/>
    </w:pPr>
    <w:rPr>
      <w:rFonts w:ascii="Calibri" w:eastAsia="Calibri" w:hAnsi="Calibri" w:cs="Calibri"/>
      <w:sz w:val="21"/>
      <w:lang w:val="en-GB"/>
    </w:rPr>
  </w:style>
  <w:style w:type="paragraph" w:styleId="ListNumber2">
    <w:name w:val="List Number 2"/>
    <w:basedOn w:val="List2"/>
    <w:next w:val="List2"/>
    <w:autoRedefine/>
    <w:uiPriority w:val="99"/>
    <w:unhideWhenUsed/>
    <w:rsid w:val="008F0CED"/>
    <w:pPr>
      <w:spacing w:after="200" w:line="276" w:lineRule="auto"/>
      <w:ind w:left="0" w:firstLine="0"/>
    </w:pPr>
    <w:rPr>
      <w:rFonts w:eastAsia="MS Mincho"/>
      <w:color w:val="002060"/>
      <w:sz w:val="22"/>
      <w:lang w:val="en-US"/>
    </w:rPr>
  </w:style>
  <w:style w:type="paragraph" w:styleId="List2">
    <w:name w:val="List 2"/>
    <w:basedOn w:val="Normal"/>
    <w:uiPriority w:val="99"/>
    <w:semiHidden/>
    <w:unhideWhenUsed/>
    <w:rsid w:val="008F0CED"/>
    <w:pPr>
      <w:spacing w:after="180" w:line="274" w:lineRule="auto"/>
      <w:ind w:left="566" w:hanging="283"/>
      <w:contextualSpacing/>
    </w:pPr>
    <w:rPr>
      <w:rFonts w:ascii="Calibri" w:eastAsia="Calibri" w:hAnsi="Calibri" w:cs="Calibri"/>
      <w:sz w:val="21"/>
      <w:lang w:val="en-GB"/>
    </w:rPr>
  </w:style>
  <w:style w:type="paragraph" w:customStyle="1" w:styleId="Number1">
    <w:name w:val="Number1"/>
    <w:basedOn w:val="Normal"/>
    <w:rsid w:val="008F0CED"/>
    <w:pPr>
      <w:widowControl w:val="0"/>
      <w:numPr>
        <w:numId w:val="16"/>
      </w:numPr>
      <w:wordWrap w:val="0"/>
      <w:autoSpaceDE w:val="0"/>
      <w:autoSpaceDN w:val="0"/>
      <w:spacing w:before="120" w:afterLines="150" w:after="200" w:line="274" w:lineRule="auto"/>
    </w:pPr>
    <w:rPr>
      <w:rFonts w:ascii="Calibri" w:eastAsia="Arial" w:hAnsi="Calibri" w:cs="Calibri"/>
      <w:b/>
      <w:color w:val="002060"/>
      <w:kern w:val="2"/>
      <w:sz w:val="28"/>
      <w:lang w:val="sr-Cyrl-CS" w:eastAsia="ko-KR"/>
    </w:rPr>
  </w:style>
  <w:style w:type="paragraph" w:customStyle="1" w:styleId="Title-sub1">
    <w:name w:val="Title-sub1"/>
    <w:basedOn w:val="Normal"/>
    <w:next w:val="Normal"/>
    <w:link w:val="Title-sub1Char"/>
    <w:rsid w:val="008F0CED"/>
    <w:pPr>
      <w:widowControl w:val="0"/>
      <w:numPr>
        <w:ilvl w:val="1"/>
        <w:numId w:val="15"/>
      </w:numPr>
      <w:tabs>
        <w:tab w:val="num" w:pos="-425"/>
      </w:tabs>
      <w:wordWrap w:val="0"/>
      <w:autoSpaceDE w:val="0"/>
      <w:autoSpaceDN w:val="0"/>
      <w:spacing w:beforeLines="100" w:afterLines="60" w:after="200" w:line="280" w:lineRule="exact"/>
      <w:ind w:left="-425" w:firstLine="425"/>
      <w:jc w:val="both"/>
    </w:pPr>
    <w:rPr>
      <w:rFonts w:ascii="Calibri" w:eastAsia="Batang" w:hAnsi="Calibri" w:cs="Calibri"/>
      <w:b/>
      <w:i/>
      <w:color w:val="0070C0"/>
      <w:kern w:val="2"/>
      <w:sz w:val="21"/>
      <w:szCs w:val="20"/>
      <w:lang w:val="en-GB" w:eastAsia="ko-KR"/>
    </w:rPr>
  </w:style>
  <w:style w:type="character" w:customStyle="1" w:styleId="Title-sub1Char">
    <w:name w:val="Title-sub1 Char"/>
    <w:link w:val="Title-sub1"/>
    <w:rsid w:val="008F0CED"/>
    <w:rPr>
      <w:rFonts w:ascii="Calibri" w:eastAsia="Batang" w:hAnsi="Calibri" w:cs="Calibri"/>
      <w:b/>
      <w:i/>
      <w:color w:val="0070C0"/>
      <w:kern w:val="2"/>
      <w:sz w:val="21"/>
      <w:szCs w:val="20"/>
      <w:lang w:val="en-GB" w:eastAsia="ko-KR"/>
    </w:rPr>
  </w:style>
  <w:style w:type="table" w:customStyle="1" w:styleId="GridTable4-Accent51">
    <w:name w:val="Grid Table 4 - Accent 51"/>
    <w:basedOn w:val="TableNormal"/>
    <w:uiPriority w:val="49"/>
    <w:rsid w:val="008F0CED"/>
    <w:pPr>
      <w:spacing w:after="200" w:line="276" w:lineRule="auto"/>
    </w:pPr>
    <w:rPr>
      <w:rFonts w:ascii="Calibri" w:eastAsia="Calibri" w:hAnsi="Calibri" w:cs="Calibri"/>
      <w:lang w:val="en-G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paragraph" w:styleId="TOC1">
    <w:name w:val="toc 1"/>
    <w:basedOn w:val="Normal"/>
    <w:next w:val="Normal"/>
    <w:autoRedefine/>
    <w:uiPriority w:val="39"/>
    <w:unhideWhenUsed/>
    <w:qFormat/>
    <w:rsid w:val="008F0CED"/>
    <w:pPr>
      <w:tabs>
        <w:tab w:val="left" w:pos="420"/>
        <w:tab w:val="right" w:pos="9010"/>
      </w:tabs>
      <w:spacing w:before="120" w:after="0" w:line="274" w:lineRule="auto"/>
    </w:pPr>
    <w:rPr>
      <w:rFonts w:ascii="Calibri" w:eastAsia="Calibri" w:hAnsi="Calibri" w:cs="Calibri"/>
      <w:b/>
      <w:bCs/>
      <w:iCs/>
      <w:lang w:val="uz-Cyrl-UZ"/>
    </w:rPr>
  </w:style>
  <w:style w:type="paragraph" w:styleId="TOC2">
    <w:name w:val="toc 2"/>
    <w:basedOn w:val="Normal"/>
    <w:next w:val="Normal"/>
    <w:autoRedefine/>
    <w:uiPriority w:val="39"/>
    <w:unhideWhenUsed/>
    <w:qFormat/>
    <w:rsid w:val="008F0CED"/>
    <w:pPr>
      <w:spacing w:before="120" w:after="0" w:line="274" w:lineRule="auto"/>
      <w:ind w:left="210"/>
    </w:pPr>
    <w:rPr>
      <w:rFonts w:ascii="Calibri" w:eastAsia="Calibri" w:hAnsi="Calibri" w:cs="Calibri"/>
      <w:b/>
      <w:bCs/>
      <w:lang w:val="en-GB"/>
    </w:rPr>
  </w:style>
  <w:style w:type="paragraph" w:styleId="TOC3">
    <w:name w:val="toc 3"/>
    <w:basedOn w:val="Normal"/>
    <w:next w:val="Normal"/>
    <w:autoRedefine/>
    <w:uiPriority w:val="39"/>
    <w:unhideWhenUsed/>
    <w:qFormat/>
    <w:rsid w:val="008F0CED"/>
    <w:pPr>
      <w:spacing w:after="0" w:line="274" w:lineRule="auto"/>
      <w:ind w:left="420"/>
    </w:pPr>
    <w:rPr>
      <w:rFonts w:ascii="Calibri" w:eastAsia="Calibri" w:hAnsi="Calibri" w:cs="Calibri"/>
      <w:sz w:val="20"/>
      <w:szCs w:val="20"/>
      <w:lang w:val="en-GB"/>
    </w:rPr>
  </w:style>
  <w:style w:type="paragraph" w:styleId="TOC4">
    <w:name w:val="toc 4"/>
    <w:basedOn w:val="Normal"/>
    <w:next w:val="Normal"/>
    <w:autoRedefine/>
    <w:uiPriority w:val="39"/>
    <w:unhideWhenUsed/>
    <w:rsid w:val="008F0CED"/>
    <w:pPr>
      <w:spacing w:after="0" w:line="274" w:lineRule="auto"/>
      <w:ind w:left="630"/>
    </w:pPr>
    <w:rPr>
      <w:rFonts w:ascii="Calibri" w:eastAsia="Calibri" w:hAnsi="Calibri" w:cs="Calibri"/>
      <w:sz w:val="20"/>
      <w:szCs w:val="20"/>
      <w:lang w:val="en-GB"/>
    </w:rPr>
  </w:style>
  <w:style w:type="paragraph" w:styleId="TOC5">
    <w:name w:val="toc 5"/>
    <w:basedOn w:val="Normal"/>
    <w:next w:val="Normal"/>
    <w:autoRedefine/>
    <w:uiPriority w:val="39"/>
    <w:unhideWhenUsed/>
    <w:rsid w:val="008F0CED"/>
    <w:pPr>
      <w:spacing w:after="0" w:line="274" w:lineRule="auto"/>
      <w:ind w:left="840"/>
    </w:pPr>
    <w:rPr>
      <w:rFonts w:ascii="Calibri" w:eastAsia="Calibri" w:hAnsi="Calibri" w:cs="Calibri"/>
      <w:sz w:val="20"/>
      <w:szCs w:val="20"/>
      <w:lang w:val="en-GB"/>
    </w:rPr>
  </w:style>
  <w:style w:type="paragraph" w:styleId="TOC6">
    <w:name w:val="toc 6"/>
    <w:basedOn w:val="Normal"/>
    <w:next w:val="Normal"/>
    <w:autoRedefine/>
    <w:uiPriority w:val="39"/>
    <w:unhideWhenUsed/>
    <w:rsid w:val="008F0CED"/>
    <w:pPr>
      <w:spacing w:after="0" w:line="274" w:lineRule="auto"/>
      <w:ind w:left="1050"/>
    </w:pPr>
    <w:rPr>
      <w:rFonts w:ascii="Calibri" w:eastAsia="Calibri" w:hAnsi="Calibri" w:cs="Calibri"/>
      <w:sz w:val="20"/>
      <w:szCs w:val="20"/>
      <w:lang w:val="en-GB"/>
    </w:rPr>
  </w:style>
  <w:style w:type="paragraph" w:styleId="TOC7">
    <w:name w:val="toc 7"/>
    <w:basedOn w:val="Normal"/>
    <w:next w:val="Normal"/>
    <w:autoRedefine/>
    <w:uiPriority w:val="39"/>
    <w:unhideWhenUsed/>
    <w:rsid w:val="008F0CED"/>
    <w:pPr>
      <w:spacing w:after="0" w:line="274" w:lineRule="auto"/>
      <w:ind w:left="1260"/>
    </w:pPr>
    <w:rPr>
      <w:rFonts w:ascii="Calibri" w:eastAsia="Calibri" w:hAnsi="Calibri" w:cs="Calibri"/>
      <w:sz w:val="20"/>
      <w:szCs w:val="20"/>
      <w:lang w:val="en-GB"/>
    </w:rPr>
  </w:style>
  <w:style w:type="paragraph" w:styleId="TOC8">
    <w:name w:val="toc 8"/>
    <w:basedOn w:val="Normal"/>
    <w:next w:val="Normal"/>
    <w:autoRedefine/>
    <w:uiPriority w:val="39"/>
    <w:unhideWhenUsed/>
    <w:rsid w:val="008F0CED"/>
    <w:pPr>
      <w:spacing w:after="0" w:line="274" w:lineRule="auto"/>
      <w:ind w:left="1470"/>
    </w:pPr>
    <w:rPr>
      <w:rFonts w:ascii="Calibri" w:eastAsia="Calibri" w:hAnsi="Calibri" w:cs="Calibri"/>
      <w:sz w:val="20"/>
      <w:szCs w:val="20"/>
      <w:lang w:val="en-GB"/>
    </w:rPr>
  </w:style>
  <w:style w:type="paragraph" w:styleId="TOC9">
    <w:name w:val="toc 9"/>
    <w:basedOn w:val="Normal"/>
    <w:next w:val="Normal"/>
    <w:autoRedefine/>
    <w:uiPriority w:val="39"/>
    <w:unhideWhenUsed/>
    <w:rsid w:val="008F0CED"/>
    <w:pPr>
      <w:spacing w:after="0" w:line="274" w:lineRule="auto"/>
      <w:ind w:left="1680"/>
    </w:pPr>
    <w:rPr>
      <w:rFonts w:ascii="Calibri" w:eastAsia="Calibri" w:hAnsi="Calibri" w:cs="Calibri"/>
      <w:sz w:val="20"/>
      <w:szCs w:val="20"/>
      <w:lang w:val="en-GB"/>
    </w:rPr>
  </w:style>
  <w:style w:type="paragraph" w:customStyle="1" w:styleId="TOCHeading1">
    <w:name w:val="TOC Heading1"/>
    <w:basedOn w:val="Heading1"/>
    <w:next w:val="Normal"/>
    <w:uiPriority w:val="39"/>
    <w:qFormat/>
    <w:rsid w:val="008F0CED"/>
    <w:pPr>
      <w:spacing w:before="480" w:after="0" w:line="264" w:lineRule="auto"/>
      <w:ind w:left="432" w:hanging="432"/>
      <w:outlineLvl w:val="9"/>
    </w:pPr>
    <w:rPr>
      <w:rFonts w:ascii="Cambria" w:eastAsia="MS Gothic" w:hAnsi="Cambria" w:cs="Calibri"/>
      <w:b/>
      <w:bCs/>
      <w:color w:val="4F81BD"/>
      <w:spacing w:val="20"/>
      <w:sz w:val="32"/>
      <w:szCs w:val="28"/>
      <w:lang w:val="en-GB"/>
    </w:rPr>
  </w:style>
  <w:style w:type="paragraph" w:customStyle="1" w:styleId="MediumGrid21">
    <w:name w:val="Medium Grid 21"/>
    <w:link w:val="MediumGrid2Char"/>
    <w:uiPriority w:val="1"/>
    <w:qFormat/>
    <w:rsid w:val="008F0CED"/>
    <w:pPr>
      <w:spacing w:after="200" w:line="276" w:lineRule="auto"/>
    </w:pPr>
    <w:rPr>
      <w:rFonts w:ascii="Calibri" w:eastAsia="Calibri" w:hAnsi="Calibri" w:cs="Calibri"/>
      <w:lang w:val="en-GB"/>
    </w:rPr>
  </w:style>
  <w:style w:type="character" w:customStyle="1" w:styleId="MediumGrid2Char">
    <w:name w:val="Medium Grid 2 Char"/>
    <w:link w:val="MediumGrid21"/>
    <w:uiPriority w:val="1"/>
    <w:rsid w:val="008F0CED"/>
    <w:rPr>
      <w:rFonts w:ascii="Calibri" w:eastAsia="Calibri" w:hAnsi="Calibri" w:cs="Calibri"/>
      <w:lang w:val="en-GB"/>
    </w:rPr>
  </w:style>
  <w:style w:type="paragraph" w:styleId="Subtitle">
    <w:name w:val="Subtitle"/>
    <w:basedOn w:val="Normal"/>
    <w:next w:val="Normal"/>
    <w:link w:val="SubtitleChar"/>
    <w:rsid w:val="008F0CED"/>
    <w:pPr>
      <w:spacing w:after="180" w:line="274" w:lineRule="auto"/>
    </w:pPr>
    <w:rPr>
      <w:rFonts w:ascii="Calibri" w:eastAsia="Calibri" w:hAnsi="Calibri" w:cs="Calibri"/>
      <w:color w:val="1F497D"/>
      <w:sz w:val="40"/>
      <w:szCs w:val="40"/>
      <w:lang w:val="sr-Cyrl-CS"/>
    </w:rPr>
  </w:style>
  <w:style w:type="character" w:customStyle="1" w:styleId="SubtitleChar">
    <w:name w:val="Subtitle Char"/>
    <w:basedOn w:val="DefaultParagraphFont"/>
    <w:link w:val="Subtitle"/>
    <w:rsid w:val="008F0CED"/>
    <w:rPr>
      <w:rFonts w:ascii="Calibri" w:eastAsia="Calibri" w:hAnsi="Calibri" w:cs="Calibri"/>
      <w:color w:val="1F497D"/>
      <w:sz w:val="40"/>
      <w:szCs w:val="40"/>
      <w:lang w:val="sr-Cyrl-CS"/>
    </w:rPr>
  </w:style>
  <w:style w:type="character" w:styleId="Emphasis">
    <w:name w:val="Emphasis"/>
    <w:uiPriority w:val="20"/>
    <w:qFormat/>
    <w:rsid w:val="008F0CED"/>
    <w:rPr>
      <w:b/>
      <w:i/>
      <w:iCs/>
    </w:rPr>
  </w:style>
  <w:style w:type="paragraph" w:customStyle="1" w:styleId="ColorfulGrid-Accent11">
    <w:name w:val="Colorful Grid - Accent 11"/>
    <w:basedOn w:val="Normal"/>
    <w:next w:val="Normal"/>
    <w:link w:val="ColorfulGrid-Accent1Char"/>
    <w:uiPriority w:val="29"/>
    <w:qFormat/>
    <w:rsid w:val="008F0CED"/>
    <w:pPr>
      <w:spacing w:after="0" w:line="360" w:lineRule="auto"/>
      <w:jc w:val="center"/>
    </w:pPr>
    <w:rPr>
      <w:rFonts w:ascii="Calibri" w:eastAsia="MS Mincho" w:hAnsi="Calibri" w:cs="Calibri"/>
      <w:b/>
      <w:i/>
      <w:iCs/>
      <w:color w:val="4F81BD"/>
      <w:sz w:val="26"/>
      <w:lang w:val="en-GB"/>
    </w:rPr>
  </w:style>
  <w:style w:type="character" w:customStyle="1" w:styleId="ColorfulGrid-Accent1Char">
    <w:name w:val="Colorful Grid - Accent 1 Char"/>
    <w:link w:val="ColorfulGrid-Accent11"/>
    <w:uiPriority w:val="29"/>
    <w:rsid w:val="008F0CED"/>
    <w:rPr>
      <w:rFonts w:ascii="Calibri" w:eastAsia="MS Mincho" w:hAnsi="Calibri" w:cs="Calibri"/>
      <w:b/>
      <w:i/>
      <w:iCs/>
      <w:color w:val="4F81BD"/>
      <w:sz w:val="26"/>
      <w:lang w:val="en-GB"/>
    </w:rPr>
  </w:style>
  <w:style w:type="paragraph" w:customStyle="1" w:styleId="LightShading-Accent21">
    <w:name w:val="Light Shading - Accent 21"/>
    <w:basedOn w:val="Normal"/>
    <w:next w:val="Normal"/>
    <w:link w:val="LightShading-Accent2Char"/>
    <w:uiPriority w:val="30"/>
    <w:qFormat/>
    <w:rsid w:val="008F0CED"/>
    <w:pPr>
      <w:pBdr>
        <w:top w:val="single" w:sz="36" w:space="8" w:color="4F81BD"/>
        <w:left w:val="single" w:sz="36" w:space="8" w:color="4F81BD"/>
        <w:bottom w:val="single" w:sz="36" w:space="8" w:color="4F81BD"/>
        <w:right w:val="single" w:sz="36" w:space="8" w:color="4F81BD"/>
      </w:pBdr>
      <w:shd w:val="clear" w:color="auto" w:fill="4F81BD"/>
      <w:spacing w:before="200" w:after="200" w:line="360" w:lineRule="auto"/>
      <w:ind w:left="259" w:right="259"/>
      <w:jc w:val="center"/>
    </w:pPr>
    <w:rPr>
      <w:rFonts w:ascii="Cambria" w:eastAsia="MS Mincho" w:hAnsi="Cambria" w:cs="Calibri"/>
      <w:bCs/>
      <w:iCs/>
      <w:color w:val="FFFFFF"/>
      <w:sz w:val="28"/>
      <w:lang w:val="en-GB"/>
    </w:rPr>
  </w:style>
  <w:style w:type="character" w:customStyle="1" w:styleId="LightShading-Accent2Char">
    <w:name w:val="Light Shading - Accent 2 Char"/>
    <w:link w:val="LightShading-Accent21"/>
    <w:uiPriority w:val="30"/>
    <w:rsid w:val="008F0CED"/>
    <w:rPr>
      <w:rFonts w:ascii="Cambria" w:eastAsia="MS Mincho" w:hAnsi="Cambria" w:cs="Calibri"/>
      <w:bCs/>
      <w:iCs/>
      <w:color w:val="FFFFFF"/>
      <w:sz w:val="28"/>
      <w:shd w:val="clear" w:color="auto" w:fill="4F81BD"/>
      <w:lang w:val="en-GB"/>
    </w:rPr>
  </w:style>
  <w:style w:type="character" w:customStyle="1" w:styleId="SubtleEmphasis1">
    <w:name w:val="Subtle Emphasis1"/>
    <w:uiPriority w:val="19"/>
    <w:qFormat/>
    <w:rsid w:val="008F0CED"/>
    <w:rPr>
      <w:i/>
      <w:iCs/>
      <w:color w:val="000000"/>
    </w:rPr>
  </w:style>
  <w:style w:type="character" w:customStyle="1" w:styleId="IntenseEmphasis1">
    <w:name w:val="Intense Emphasis1"/>
    <w:uiPriority w:val="21"/>
    <w:qFormat/>
    <w:rsid w:val="008F0CED"/>
    <w:rPr>
      <w:b/>
      <w:bCs/>
      <w:i/>
      <w:iCs/>
      <w:color w:val="4F81BD"/>
    </w:rPr>
  </w:style>
  <w:style w:type="character" w:customStyle="1" w:styleId="SubtleReference1">
    <w:name w:val="Subtle Reference1"/>
    <w:uiPriority w:val="31"/>
    <w:qFormat/>
    <w:rsid w:val="008F0CED"/>
    <w:rPr>
      <w:smallCaps/>
      <w:color w:val="000000"/>
      <w:u w:val="single"/>
    </w:rPr>
  </w:style>
  <w:style w:type="character" w:customStyle="1" w:styleId="IntenseReference1">
    <w:name w:val="Intense Reference1"/>
    <w:uiPriority w:val="32"/>
    <w:qFormat/>
    <w:rsid w:val="008F0CED"/>
    <w:rPr>
      <w:b w:val="0"/>
      <w:bCs/>
      <w:smallCaps/>
      <w:color w:val="4F81BD"/>
      <w:spacing w:val="5"/>
      <w:u w:val="single"/>
    </w:rPr>
  </w:style>
  <w:style w:type="character" w:customStyle="1" w:styleId="BookTitle1">
    <w:name w:val="Book Title1"/>
    <w:uiPriority w:val="33"/>
    <w:qFormat/>
    <w:rsid w:val="008F0CED"/>
    <w:rPr>
      <w:b/>
      <w:bCs/>
      <w:caps/>
      <w:smallCaps w:val="0"/>
      <w:color w:val="1F497D"/>
      <w:spacing w:val="10"/>
    </w:rPr>
  </w:style>
  <w:style w:type="paragraph" w:customStyle="1" w:styleId="PersonalName">
    <w:name w:val="Personal Name"/>
    <w:basedOn w:val="Title"/>
    <w:qFormat/>
    <w:rsid w:val="008F0CED"/>
    <w:rPr>
      <w:b/>
      <w:caps/>
      <w:color w:val="000000"/>
      <w:sz w:val="28"/>
      <w:szCs w:val="28"/>
    </w:rPr>
  </w:style>
  <w:style w:type="table" w:customStyle="1" w:styleId="GridTable6Colorful-Accent51">
    <w:name w:val="Grid Table 6 Colorful - Accent 51"/>
    <w:basedOn w:val="TableNormal"/>
    <w:uiPriority w:val="51"/>
    <w:rsid w:val="008F0CED"/>
    <w:pPr>
      <w:spacing w:after="200" w:line="276" w:lineRule="auto"/>
    </w:pPr>
    <w:rPr>
      <w:rFonts w:ascii="Calibri" w:eastAsia="Calibri" w:hAnsi="Calibri" w:cs="Calibri"/>
      <w:color w:val="31849B"/>
      <w:lang w:val="en-G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bottom w:val="single" w:sz="12" w:space="0" w:color="92CDDC"/>
        </w:tcBorders>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6Colorful-Accent11">
    <w:name w:val="Grid Table 6 Colorful - Accent 11"/>
    <w:basedOn w:val="TableNormal"/>
    <w:uiPriority w:val="51"/>
    <w:rsid w:val="008F0CED"/>
    <w:pPr>
      <w:spacing w:after="200" w:line="276" w:lineRule="auto"/>
    </w:pPr>
    <w:rPr>
      <w:rFonts w:ascii="Calibri" w:eastAsia="Calibri" w:hAnsi="Calibri" w:cs="Calibri"/>
      <w:color w:val="365F91"/>
      <w:lang w:val="en-GB"/>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UnresolvedMention1">
    <w:name w:val="Unresolved Mention1"/>
    <w:uiPriority w:val="99"/>
    <w:rsid w:val="008F0CED"/>
    <w:rPr>
      <w:color w:val="605E5C"/>
      <w:shd w:val="clear" w:color="auto" w:fill="E1DFDD"/>
    </w:rPr>
  </w:style>
  <w:style w:type="paragraph" w:customStyle="1" w:styleId="m-4637854889238109489msolistparagraph">
    <w:name w:val="m_-4637854889238109489msolistparagraph"/>
    <w:basedOn w:val="Normal"/>
    <w:rsid w:val="008F0CED"/>
    <w:pPr>
      <w:spacing w:before="100" w:beforeAutospacing="1" w:after="100" w:afterAutospacing="1" w:line="240" w:lineRule="auto"/>
    </w:pPr>
    <w:rPr>
      <w:rFonts w:ascii="Times New Roman" w:eastAsia="Times New Roman" w:hAnsi="Times New Roman" w:cs="Calibri"/>
      <w:sz w:val="24"/>
      <w:szCs w:val="24"/>
      <w:lang w:val="en-GB"/>
    </w:rPr>
  </w:style>
  <w:style w:type="character" w:customStyle="1" w:styleId="ColorfulList-Accent1Char">
    <w:name w:val="Colorful List - Accent 1 Char"/>
    <w:link w:val="ColorfulList-Accent11"/>
    <w:uiPriority w:val="34"/>
    <w:locked/>
    <w:rsid w:val="008F0CED"/>
    <w:rPr>
      <w:rFonts w:ascii="Calibri" w:eastAsia="Calibri" w:hAnsi="Calibri" w:cs="Calibri"/>
      <w:sz w:val="20"/>
      <w:szCs w:val="20"/>
      <w:lang w:val="sr-Cyrl-CS" w:eastAsia="x-none"/>
    </w:rPr>
  </w:style>
  <w:style w:type="paragraph" w:customStyle="1" w:styleId="Indent">
    <w:name w:val="Indent"/>
    <w:basedOn w:val="Normal"/>
    <w:link w:val="IndentChar"/>
    <w:qFormat/>
    <w:rsid w:val="008F0CED"/>
    <w:pPr>
      <w:ind w:firstLine="709"/>
      <w:jc w:val="both"/>
    </w:pPr>
    <w:rPr>
      <w:rFonts w:ascii="Calibri" w:eastAsia="Calibri" w:hAnsi="Calibri" w:cs="Calibri"/>
      <w:lang w:val="uz-Cyrl-UZ"/>
    </w:rPr>
  </w:style>
  <w:style w:type="character" w:customStyle="1" w:styleId="IndentChar">
    <w:name w:val="Indent Char"/>
    <w:link w:val="Indent"/>
    <w:rsid w:val="008F0CED"/>
    <w:rPr>
      <w:rFonts w:ascii="Calibri" w:eastAsia="Calibri" w:hAnsi="Calibri" w:cs="Calibri"/>
      <w:lang w:val="uz-Cyrl-UZ"/>
    </w:rPr>
  </w:style>
  <w:style w:type="table" w:styleId="LightGrid-Accent2">
    <w:name w:val="Light Grid Accent 2"/>
    <w:basedOn w:val="TableNormal"/>
    <w:uiPriority w:val="67"/>
    <w:rsid w:val="008F0CED"/>
    <w:pPr>
      <w:spacing w:after="200" w:line="276" w:lineRule="auto"/>
    </w:pPr>
    <w:rPr>
      <w:rFonts w:ascii="Calibri" w:eastAsia="Calibri" w:hAnsi="Calibri" w:cs="Calibri"/>
      <w:lang w:val="sr-Cyrl-C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ghtGrid-Accent5">
    <w:name w:val="Light Grid Accent 5"/>
    <w:basedOn w:val="TableNormal"/>
    <w:uiPriority w:val="67"/>
    <w:rsid w:val="008F0CED"/>
    <w:pPr>
      <w:spacing w:after="200" w:line="276" w:lineRule="auto"/>
    </w:pPr>
    <w:rPr>
      <w:rFonts w:ascii="Calibri" w:eastAsia="Calibri" w:hAnsi="Calibri" w:cs="Calibri"/>
      <w:lang w:val="sr-Cyrl-C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2-Accent5">
    <w:name w:val="Medium Shading 2 Accent 5"/>
    <w:basedOn w:val="TableNormal"/>
    <w:uiPriority w:val="69"/>
    <w:rsid w:val="008F0CED"/>
    <w:pPr>
      <w:spacing w:after="200" w:line="276" w:lineRule="auto"/>
    </w:pPr>
    <w:rPr>
      <w:rFonts w:ascii="Calibri" w:eastAsia="Calibri" w:hAnsi="Calibri" w:cs="Calibri"/>
      <w:lang w:val="sr-Cyrl-C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Shading2-Accent4">
    <w:name w:val="Medium Shading 2 Accent 4"/>
    <w:basedOn w:val="TableNormal"/>
    <w:uiPriority w:val="69"/>
    <w:rsid w:val="008F0CED"/>
    <w:pPr>
      <w:spacing w:after="200" w:line="276" w:lineRule="auto"/>
    </w:pPr>
    <w:rPr>
      <w:rFonts w:ascii="Calibri" w:eastAsia="Calibri" w:hAnsi="Calibri" w:cs="Calibri"/>
      <w:lang w:val="sr-Cyrl-C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1-Accent11">
    <w:name w:val="Medium Grid 1 - Accent 11"/>
    <w:basedOn w:val="TableNormal"/>
    <w:next w:val="LightGrid-Accent2"/>
    <w:uiPriority w:val="67"/>
    <w:rsid w:val="008F0CED"/>
    <w:pPr>
      <w:spacing w:after="200" w:line="276" w:lineRule="auto"/>
    </w:pPr>
    <w:rPr>
      <w:rFonts w:ascii="Calibri" w:eastAsia="Calibri" w:hAnsi="Calibri" w:cs="Calibri"/>
      <w:lang w:val="sr-Cyrl-C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ColorfulShading-Accent11">
    <w:name w:val="Colorful Shading - Accent 11"/>
    <w:hidden/>
    <w:uiPriority w:val="99"/>
    <w:semiHidden/>
    <w:rsid w:val="008F0CED"/>
    <w:pPr>
      <w:spacing w:after="200" w:line="276" w:lineRule="auto"/>
    </w:pPr>
    <w:rPr>
      <w:rFonts w:ascii="Calibri" w:eastAsia="Calibri" w:hAnsi="Calibri" w:cs="Calibri"/>
      <w:noProof/>
      <w:lang w:val="sr-Cyrl-CS"/>
    </w:rPr>
  </w:style>
  <w:style w:type="paragraph" w:styleId="Revision">
    <w:name w:val="Revision"/>
    <w:hidden/>
    <w:uiPriority w:val="99"/>
    <w:semiHidden/>
    <w:rsid w:val="008F0CED"/>
    <w:pPr>
      <w:spacing w:after="200" w:line="276" w:lineRule="auto"/>
    </w:pPr>
    <w:rPr>
      <w:rFonts w:ascii="Calibri" w:eastAsia="Calibri" w:hAnsi="Calibri" w:cs="Calibri"/>
      <w:lang w:val="en-GB"/>
    </w:rPr>
  </w:style>
  <w:style w:type="character" w:customStyle="1" w:styleId="UnresolvedMention2">
    <w:name w:val="Unresolved Mention2"/>
    <w:basedOn w:val="DefaultParagraphFont"/>
    <w:uiPriority w:val="99"/>
    <w:semiHidden/>
    <w:unhideWhenUsed/>
    <w:rsid w:val="008F0CED"/>
    <w:rPr>
      <w:color w:val="605E5C"/>
      <w:shd w:val="clear" w:color="auto" w:fill="E1DFDD"/>
    </w:rPr>
  </w:style>
  <w:style w:type="paragraph" w:customStyle="1" w:styleId="auto-style1">
    <w:name w:val="auto-style1"/>
    <w:basedOn w:val="Normal"/>
    <w:rsid w:val="008F0CED"/>
    <w:pPr>
      <w:spacing w:before="100" w:beforeAutospacing="1" w:after="100" w:afterAutospacing="1" w:line="240" w:lineRule="auto"/>
    </w:pPr>
    <w:rPr>
      <w:rFonts w:ascii="Times New Roman" w:eastAsia="Times New Roman" w:hAnsi="Times New Roman" w:cs="Calibri"/>
      <w:sz w:val="24"/>
      <w:szCs w:val="24"/>
      <w:lang w:val="sr-Latn-RS"/>
    </w:rPr>
  </w:style>
  <w:style w:type="table" w:customStyle="1" w:styleId="23">
    <w:name w:val="23"/>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22">
    <w:name w:val="22"/>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21">
    <w:name w:val="21"/>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20">
    <w:name w:val="20"/>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19">
    <w:name w:val="19"/>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18">
    <w:name w:val="18"/>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17">
    <w:name w:val="17"/>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16">
    <w:name w:val="16"/>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15">
    <w:name w:val="15"/>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14">
    <w:name w:val="14"/>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13">
    <w:name w:val="13"/>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12">
    <w:name w:val="12"/>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11">
    <w:name w:val="11"/>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10">
    <w:name w:val="10"/>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9">
    <w:name w:val="9"/>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8">
    <w:name w:val="8"/>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7">
    <w:name w:val="7"/>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6">
    <w:name w:val="6"/>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5">
    <w:name w:val="5"/>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4">
    <w:name w:val="4"/>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3">
    <w:name w:val="3"/>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2">
    <w:name w:val="2"/>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1">
    <w:name w:val="1"/>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character" w:customStyle="1" w:styleId="v2-clan-left-2">
    <w:name w:val="v2-clan-left-2"/>
    <w:basedOn w:val="DefaultParagraphFont"/>
    <w:rsid w:val="008F0CED"/>
  </w:style>
  <w:style w:type="character" w:customStyle="1" w:styleId="v2-clan-left-5">
    <w:name w:val="v2-clan-left-5"/>
    <w:basedOn w:val="DefaultParagraphFont"/>
    <w:rsid w:val="008F0CED"/>
  </w:style>
  <w:style w:type="paragraph" w:customStyle="1" w:styleId="v2-clan-left-4">
    <w:name w:val="v2-clan-left-4"/>
    <w:basedOn w:val="Normal"/>
    <w:rsid w:val="008F0CED"/>
    <w:pPr>
      <w:spacing w:before="100" w:beforeAutospacing="1" w:after="100" w:afterAutospacing="1" w:line="240" w:lineRule="auto"/>
    </w:pPr>
    <w:rPr>
      <w:rFonts w:ascii="Times New Roman" w:eastAsia="Times New Roman" w:hAnsi="Times New Roman" w:cs="Times New Roman"/>
      <w:sz w:val="24"/>
      <w:szCs w:val="24"/>
      <w:lang w:val="sr-Latn-RS"/>
    </w:rPr>
  </w:style>
  <w:style w:type="character" w:customStyle="1" w:styleId="v2-clan-left-41">
    <w:name w:val="v2-clan-left-41"/>
    <w:basedOn w:val="DefaultParagraphFont"/>
    <w:rsid w:val="008F0CED"/>
  </w:style>
  <w:style w:type="paragraph" w:customStyle="1" w:styleId="hide-change">
    <w:name w:val="hide-change"/>
    <w:basedOn w:val="Normal"/>
    <w:rsid w:val="008F0CED"/>
    <w:pPr>
      <w:spacing w:before="100" w:beforeAutospacing="1" w:after="100" w:afterAutospacing="1" w:line="240" w:lineRule="auto"/>
    </w:pPr>
    <w:rPr>
      <w:rFonts w:ascii="Times New Roman" w:eastAsia="Times New Roman" w:hAnsi="Times New Roman" w:cs="Times New Roman"/>
      <w:sz w:val="24"/>
      <w:szCs w:val="24"/>
      <w:lang w:val="sr-Latn-RS"/>
    </w:rPr>
  </w:style>
  <w:style w:type="paragraph" w:customStyle="1" w:styleId="v2-clan-left-21">
    <w:name w:val="v2-clan-left-21"/>
    <w:basedOn w:val="Normal"/>
    <w:rsid w:val="008F0CED"/>
    <w:pPr>
      <w:spacing w:before="100" w:beforeAutospacing="1" w:after="100" w:afterAutospacing="1" w:line="240" w:lineRule="auto"/>
    </w:pPr>
    <w:rPr>
      <w:rFonts w:ascii="Times New Roman" w:eastAsia="Times New Roman" w:hAnsi="Times New Roman" w:cs="Times New Roman"/>
      <w:sz w:val="24"/>
      <w:szCs w:val="24"/>
      <w:lang w:val="sr-Latn-RS"/>
    </w:rPr>
  </w:style>
  <w:style w:type="character" w:customStyle="1" w:styleId="v2-clan-left-51">
    <w:name w:val="v2-clan-left-51"/>
    <w:basedOn w:val="DefaultParagraphFont"/>
    <w:rsid w:val="008F0CED"/>
  </w:style>
  <w:style w:type="character" w:customStyle="1" w:styleId="v2-clan-left-3">
    <w:name w:val="v2-clan-left-3"/>
    <w:basedOn w:val="DefaultParagraphFont"/>
    <w:rsid w:val="008F0CED"/>
  </w:style>
  <w:style w:type="paragraph" w:customStyle="1" w:styleId="v2-clan-left-31">
    <w:name w:val="v2-clan-left-31"/>
    <w:basedOn w:val="Normal"/>
    <w:rsid w:val="008F0CED"/>
    <w:pPr>
      <w:spacing w:before="100" w:beforeAutospacing="1" w:after="100" w:afterAutospacing="1" w:line="240" w:lineRule="auto"/>
    </w:pPr>
    <w:rPr>
      <w:rFonts w:ascii="Times New Roman" w:eastAsia="Times New Roman" w:hAnsi="Times New Roman" w:cs="Times New Roman"/>
      <w:sz w:val="24"/>
      <w:szCs w:val="24"/>
      <w:lang w:val="sr-Latn-RS"/>
    </w:rPr>
  </w:style>
  <w:style w:type="paragraph" w:customStyle="1" w:styleId="v2-clan-left-11">
    <w:name w:val="v2-clan-left-11"/>
    <w:basedOn w:val="Normal"/>
    <w:rsid w:val="008F0CED"/>
    <w:pPr>
      <w:spacing w:before="100" w:beforeAutospacing="1" w:after="100" w:afterAutospacing="1" w:line="240" w:lineRule="auto"/>
    </w:pPr>
    <w:rPr>
      <w:rFonts w:ascii="Times New Roman" w:eastAsia="Times New Roman" w:hAnsi="Times New Roman" w:cs="Times New Roman"/>
      <w:sz w:val="24"/>
      <w:szCs w:val="24"/>
      <w:lang w:val="sr-Latn-RS"/>
    </w:rPr>
  </w:style>
  <w:style w:type="table" w:customStyle="1" w:styleId="50">
    <w:name w:val="50"/>
    <w:basedOn w:val="TableNormal"/>
    <w:rsid w:val="008F0CED"/>
    <w:pPr>
      <w:spacing w:after="200" w:line="276" w:lineRule="auto"/>
    </w:pPr>
    <w:rPr>
      <w:rFonts w:ascii="Calibri" w:eastAsia="Calibri" w:hAnsi="Calibri" w:cs="Calibri"/>
      <w:lang w:val="sr-Cyrl-CS"/>
    </w:rPr>
    <w:tblPr>
      <w:tblStyleRowBandSize w:val="1"/>
      <w:tblStyleColBandSize w:val="1"/>
      <w:tblCellMar>
        <w:top w:w="100" w:type="dxa"/>
        <w:left w:w="100" w:type="dxa"/>
        <w:bottom w:w="100" w:type="dxa"/>
        <w:right w:w="100" w:type="dxa"/>
      </w:tblCellMar>
    </w:tblPr>
  </w:style>
  <w:style w:type="table" w:customStyle="1" w:styleId="49">
    <w:name w:val="49"/>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48">
    <w:name w:val="48"/>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47">
    <w:name w:val="47"/>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46">
    <w:name w:val="46"/>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45">
    <w:name w:val="45"/>
    <w:basedOn w:val="TableNormal"/>
    <w:rsid w:val="008F0CED"/>
    <w:pPr>
      <w:spacing w:after="200" w:line="276" w:lineRule="auto"/>
    </w:pPr>
    <w:rPr>
      <w:rFonts w:ascii="Calibri" w:eastAsia="Calibri" w:hAnsi="Calibri" w:cs="Calibri"/>
      <w:lang w:val="sr-Cyrl-CS"/>
    </w:rPr>
    <w:tblPr>
      <w:tblStyleRowBandSize w:val="1"/>
      <w:tblStyleColBandSize w:val="1"/>
      <w:tblCellMar>
        <w:left w:w="115" w:type="dxa"/>
        <w:right w:w="115" w:type="dxa"/>
      </w:tblCellMar>
    </w:tblPr>
  </w:style>
  <w:style w:type="table" w:customStyle="1" w:styleId="44">
    <w:name w:val="44"/>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43">
    <w:name w:val="43"/>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42">
    <w:name w:val="42"/>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41">
    <w:name w:val="41"/>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40">
    <w:name w:val="40"/>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39">
    <w:name w:val="39"/>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38">
    <w:name w:val="38"/>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37">
    <w:name w:val="37"/>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36">
    <w:name w:val="36"/>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35">
    <w:name w:val="35"/>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34">
    <w:name w:val="34"/>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33">
    <w:name w:val="33"/>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32">
    <w:name w:val="32"/>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31">
    <w:name w:val="31"/>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30">
    <w:name w:val="30"/>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29">
    <w:name w:val="29"/>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28">
    <w:name w:val="28"/>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27">
    <w:name w:val="27"/>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26">
    <w:name w:val="26"/>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25">
    <w:name w:val="25"/>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table" w:customStyle="1" w:styleId="24">
    <w:name w:val="24"/>
    <w:basedOn w:val="TableNormal"/>
    <w:rsid w:val="008F0CED"/>
    <w:pPr>
      <w:spacing w:after="200" w:line="276" w:lineRule="auto"/>
    </w:pPr>
    <w:rPr>
      <w:rFonts w:ascii="Calibri" w:eastAsia="Calibri" w:hAnsi="Calibri" w:cs="Calibri"/>
      <w:color w:val="365F91"/>
      <w:lang w:val="sr-Cyrl-CS"/>
    </w:rPr>
    <w:tblPr>
      <w:tblStyleRowBandSize w:val="1"/>
      <w:tblStyleColBandSize w:val="1"/>
      <w:tblCellMar>
        <w:left w:w="115" w:type="dxa"/>
        <w:right w:w="115" w:type="dxa"/>
      </w:tblCellMar>
    </w:tblPr>
    <w:tcPr>
      <w:shd w:val="clear" w:color="auto" w:fill="D3DFEE"/>
    </w:tcPr>
  </w:style>
  <w:style w:type="character" w:customStyle="1" w:styleId="italik">
    <w:name w:val="italik"/>
    <w:basedOn w:val="DefaultParagraphFont"/>
    <w:rsid w:val="008F0CED"/>
  </w:style>
  <w:style w:type="character" w:customStyle="1" w:styleId="italik1">
    <w:name w:val="italik1"/>
    <w:basedOn w:val="DefaultParagraphFont"/>
    <w:rsid w:val="008F0CED"/>
  </w:style>
  <w:style w:type="paragraph" w:customStyle="1" w:styleId="BVIfnrCharCar1CarChar">
    <w:name w:val="BVI fnr Char Car1 Car Char"/>
    <w:aliases w:val="BVI fnr Char Car Car Char,ftref Char Car Car Char, BVI fnr Char Car Char Char Car Car Char,BVI fnr Char Car Char Char Car Car Char,ftref Char Car Char Char Car Car Char, BVI fnr Char,BVI fnr Char, BVI fnr Car Car,BVI fnr Car"/>
    <w:basedOn w:val="Normal"/>
    <w:next w:val="Normal"/>
    <w:link w:val="FootnoteReference"/>
    <w:uiPriority w:val="99"/>
    <w:rsid w:val="008F0CED"/>
    <w:pPr>
      <w:spacing w:line="240" w:lineRule="exact"/>
      <w:contextualSpacing/>
      <w:jc w:val="both"/>
    </w:pPr>
    <w:rPr>
      <w:vertAlign w:val="superscript"/>
    </w:rPr>
  </w:style>
  <w:style w:type="character" w:customStyle="1" w:styleId="v2-bold-1">
    <w:name w:val="v2-bold-1"/>
    <w:basedOn w:val="DefaultParagraphFont"/>
    <w:rsid w:val="008F0CED"/>
  </w:style>
  <w:style w:type="character" w:styleId="FollowedHyperlink">
    <w:name w:val="FollowedHyperlink"/>
    <w:basedOn w:val="DefaultParagraphFont"/>
    <w:uiPriority w:val="99"/>
    <w:semiHidden/>
    <w:unhideWhenUsed/>
    <w:rsid w:val="008F0CED"/>
    <w:rPr>
      <w:color w:val="954F72" w:themeColor="followedHyperlink"/>
      <w:u w:val="single"/>
    </w:rPr>
  </w:style>
  <w:style w:type="paragraph" w:customStyle="1" w:styleId="v2-clan-1">
    <w:name w:val="v2-clan-1"/>
    <w:basedOn w:val="Normal"/>
    <w:rsid w:val="008F0CED"/>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paragraph" w:styleId="Caption">
    <w:name w:val="caption"/>
    <w:basedOn w:val="Normal"/>
    <w:next w:val="Normal"/>
    <w:uiPriority w:val="35"/>
    <w:unhideWhenUsed/>
    <w:qFormat/>
    <w:rsid w:val="008F0CED"/>
    <w:pPr>
      <w:spacing w:after="200" w:line="240" w:lineRule="auto"/>
      <w:jc w:val="both"/>
    </w:pPr>
    <w:rPr>
      <w:i/>
      <w:iCs/>
      <w:color w:val="44546A" w:themeColor="text2"/>
      <w:kern w:val="2"/>
      <w:sz w:val="18"/>
      <w:szCs w:val="18"/>
      <w:lang w:val="sr-Cyrl-CS"/>
      <w14:ligatures w14:val="standardContextual"/>
    </w:rPr>
  </w:style>
  <w:style w:type="table" w:styleId="GridTable5Dark-Accent1">
    <w:name w:val="Grid Table 5 Dark Accent 1"/>
    <w:basedOn w:val="TableNormal"/>
    <w:uiPriority w:val="50"/>
    <w:rsid w:val="008F0CED"/>
    <w:pPr>
      <w:spacing w:after="0" w:line="240" w:lineRule="auto"/>
    </w:pPr>
    <w:rPr>
      <w:kern w:val="2"/>
      <w:sz w:val="24"/>
      <w:szCs w:val="24"/>
      <w:lang w:val="sr-Cyrl-CS"/>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6Colorful-Accent5">
    <w:name w:val="Grid Table 6 Colorful Accent 5"/>
    <w:basedOn w:val="TableNormal"/>
    <w:uiPriority w:val="51"/>
    <w:rsid w:val="008F0CED"/>
    <w:pPr>
      <w:spacing w:after="0" w:line="240" w:lineRule="auto"/>
    </w:pPr>
    <w:rPr>
      <w:rFonts w:ascii="Calibri" w:eastAsia="Calibri" w:hAnsi="Calibri" w:cs="Calibri"/>
      <w:color w:val="2F5496" w:themeColor="accent5" w:themeShade="BF"/>
      <w:lang w:val="sr-Cyrl-C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UnresolvedMention3">
    <w:name w:val="Unresolved Mention3"/>
    <w:basedOn w:val="DefaultParagraphFont"/>
    <w:uiPriority w:val="99"/>
    <w:semiHidden/>
    <w:unhideWhenUsed/>
    <w:rsid w:val="008F0C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37</Pages>
  <Words>7726</Words>
  <Characters>44039</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Visnja Dragojlovic</dc:creator>
  <cp:keywords/>
  <dc:description/>
  <cp:lastModifiedBy>Daktilobiro08</cp:lastModifiedBy>
  <cp:revision>7</cp:revision>
  <dcterms:created xsi:type="dcterms:W3CDTF">2026-05-26T11:37:00Z</dcterms:created>
  <dcterms:modified xsi:type="dcterms:W3CDTF">2026-05-28T09:35:00Z</dcterms:modified>
</cp:coreProperties>
</file>